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C1C3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C1C30" w:rsidRDefault="001C137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C30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C30" w:rsidRDefault="001C137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15.09.2020 N 1434</w:t>
            </w:r>
            <w:r>
              <w:rPr>
                <w:sz w:val="48"/>
              </w:rPr>
              <w:br/>
              <w:t>(ред. от 09.12.2023)</w:t>
            </w:r>
            <w:r>
              <w:rPr>
                <w:sz w:val="48"/>
              </w:rPr>
              <w:br/>
              <w:t>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</w:t>
            </w:r>
          </w:p>
        </w:tc>
      </w:tr>
      <w:tr w:rsidR="006C1C3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C30" w:rsidRDefault="001C137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6C1C30" w:rsidRDefault="006C1C30">
      <w:pPr>
        <w:pStyle w:val="ConsPlusNormal0"/>
        <w:sectPr w:rsidR="006C1C3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C1C30" w:rsidRDefault="006C1C30">
      <w:pPr>
        <w:pStyle w:val="ConsPlusNormal0"/>
        <w:jc w:val="both"/>
        <w:outlineLvl w:val="0"/>
      </w:pPr>
    </w:p>
    <w:p w:rsidR="006C1C30" w:rsidRDefault="001C1372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C1C30" w:rsidRDefault="006C1C30">
      <w:pPr>
        <w:pStyle w:val="ConsPlusTitle0"/>
        <w:jc w:val="center"/>
      </w:pPr>
    </w:p>
    <w:p w:rsidR="006C1C30" w:rsidRDefault="001C1372">
      <w:pPr>
        <w:pStyle w:val="ConsPlusTitle0"/>
        <w:jc w:val="center"/>
      </w:pPr>
      <w:r>
        <w:t>ПОСТАНОВЛЕНИЕ</w:t>
      </w:r>
    </w:p>
    <w:p w:rsidR="006C1C30" w:rsidRDefault="001C1372">
      <w:pPr>
        <w:pStyle w:val="ConsPlusTitle0"/>
        <w:jc w:val="center"/>
      </w:pPr>
      <w:r>
        <w:t>от 15 сентября 2020 г. N 1434</w:t>
      </w:r>
    </w:p>
    <w:p w:rsidR="006C1C30" w:rsidRDefault="006C1C30">
      <w:pPr>
        <w:pStyle w:val="ConsPlusTitle0"/>
        <w:jc w:val="center"/>
      </w:pPr>
    </w:p>
    <w:p w:rsidR="006C1C30" w:rsidRDefault="001C1372">
      <w:pPr>
        <w:pStyle w:val="ConsPlusTitle0"/>
        <w:jc w:val="center"/>
      </w:pPr>
      <w:r>
        <w:t>ОБ УТВЕРЖДЕНИИ ПРАВИЛ</w:t>
      </w:r>
    </w:p>
    <w:p w:rsidR="006C1C30" w:rsidRDefault="001C1372">
      <w:pPr>
        <w:pStyle w:val="ConsPlusTitle0"/>
        <w:jc w:val="center"/>
      </w:pPr>
      <w:r>
        <w:t>ПРОВЕДЕНИЯ ТЕХНИЧЕСКОГО ОСМОТРА ТРАНСПОРТНЫХ СРЕДСТВ,</w:t>
      </w:r>
    </w:p>
    <w:p w:rsidR="006C1C30" w:rsidRDefault="001C1372">
      <w:pPr>
        <w:pStyle w:val="ConsPlusTitle0"/>
        <w:jc w:val="center"/>
      </w:pPr>
      <w:r>
        <w:t>А ТАКЖЕ О ВНЕСЕНИИ ИЗМЕНЕНИЙ В НЕКОТОРЫЕ АКТЫ ПРАВИТЕЛЬСТВА</w:t>
      </w:r>
    </w:p>
    <w:p w:rsidR="006C1C30" w:rsidRDefault="001C1372">
      <w:pPr>
        <w:pStyle w:val="ConsPlusTitle0"/>
        <w:jc w:val="center"/>
      </w:pPr>
      <w:r>
        <w:t>РОССИЙСКОЙ ФЕДЕРАЦИИ</w:t>
      </w:r>
    </w:p>
    <w:p w:rsidR="006C1C30" w:rsidRDefault="006C1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26.10.2020 N 1742,</w:t>
            </w:r>
          </w:p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от 30.01.2021 N 89, от 30.06.2021 N 1101, от 09.03.2022 N 306,</w:t>
            </w:r>
          </w:p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от 09.12.2023 N 2092)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В соответствии с Федеральным законом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6C1C30" w:rsidRDefault="0040750B">
      <w:pPr>
        <w:pStyle w:val="ConsPlusNormal0"/>
        <w:spacing w:before="240"/>
        <w:ind w:firstLine="540"/>
        <w:jc w:val="both"/>
      </w:pPr>
      <w:hyperlink w:anchor="P37" w:tooltip="ПРАВИЛА">
        <w:r w:rsidR="001C1372">
          <w:rPr>
            <w:color w:val="0000FF"/>
          </w:rPr>
          <w:t>Правила</w:t>
        </w:r>
      </w:hyperlink>
      <w:r w:rsidR="001C1372">
        <w:t xml:space="preserve"> проведения технического осмотра транспортных средств;</w:t>
      </w:r>
    </w:p>
    <w:p w:rsidR="006C1C30" w:rsidRDefault="0040750B">
      <w:pPr>
        <w:pStyle w:val="ConsPlusNormal0"/>
        <w:spacing w:before="240"/>
        <w:ind w:firstLine="540"/>
        <w:jc w:val="both"/>
      </w:pPr>
      <w:hyperlink w:anchor="P1277" w:tooltip="ИЗМЕНЕНИЯ,">
        <w:r w:rsidR="001C1372">
          <w:rPr>
            <w:color w:val="0000FF"/>
          </w:rPr>
          <w:t>изменения</w:t>
        </w:r>
      </w:hyperlink>
      <w:r w:rsidR="001C1372">
        <w:t>, которые вносятся в акты Правительства Российской Федерации.</w:t>
      </w:r>
    </w:p>
    <w:p w:rsidR="006C1C30" w:rsidRDefault="001C1372">
      <w:pPr>
        <w:pStyle w:val="ConsPlusNormal0"/>
        <w:spacing w:before="240"/>
        <w:ind w:firstLine="540"/>
        <w:jc w:val="both"/>
      </w:pPr>
      <w:bookmarkStart w:id="1" w:name="P19"/>
      <w:bookmarkEnd w:id="1"/>
      <w:r>
        <w:t xml:space="preserve">2. </w:t>
      </w:r>
      <w:hyperlink w:anchor="P37" w:tooltip="ПРАВИЛА">
        <w:r>
          <w:rPr>
            <w:color w:val="0000FF"/>
          </w:rPr>
          <w:t>Правила</w:t>
        </w:r>
      </w:hyperlink>
      <w:r>
        <w:t xml:space="preserve"> проведения технического осмотра транспортных средств, утвержденные настоящим постановлением, вступают в силу со дня вступления в силу Федерального закона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действуют в течение 6 лет со дня вступления в силу этого Федерального закона.</w:t>
      </w:r>
    </w:p>
    <w:p w:rsidR="006C1C30" w:rsidRDefault="001C1372">
      <w:pPr>
        <w:pStyle w:val="ConsPlusNormal0"/>
        <w:spacing w:before="240"/>
        <w:ind w:firstLine="540"/>
        <w:jc w:val="both"/>
      </w:pPr>
      <w:bookmarkStart w:id="2" w:name="P20"/>
      <w:bookmarkEnd w:id="2"/>
      <w:r>
        <w:t xml:space="preserve">3. </w:t>
      </w:r>
      <w:hyperlink w:anchor="P1286" w:tooltip="2. В пункте 1 постановления Правительства Российской Федерации от 17 апреля 2013 г. N 348 &quot;О техническом осмотре транспортных средств органов, осуществляющих оперативно-разыскную деятельность&quot; (Собрание законодательства Российской Федерации, 2013, N 16, ст. 19">
        <w:r>
          <w:rPr>
            <w:color w:val="0000FF"/>
          </w:rPr>
          <w:t>Пункт 2</w:t>
        </w:r>
      </w:hyperlink>
      <w:r>
        <w:t xml:space="preserve"> изменений, утвержденных настоящим постановлением, вступает в силу со дня вступления в силу Федерального закона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Федерации".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jc w:val="right"/>
      </w:pPr>
      <w:r>
        <w:t>Председатель Правительства</w:t>
      </w:r>
    </w:p>
    <w:p w:rsidR="006C1C30" w:rsidRDefault="001C1372">
      <w:pPr>
        <w:pStyle w:val="ConsPlusNormal0"/>
        <w:jc w:val="right"/>
      </w:pPr>
      <w:r>
        <w:t>Российской Федерации</w:t>
      </w:r>
    </w:p>
    <w:p w:rsidR="006C1C30" w:rsidRDefault="001C1372">
      <w:pPr>
        <w:pStyle w:val="ConsPlusNormal0"/>
        <w:jc w:val="right"/>
      </w:pPr>
      <w:r>
        <w:t>М.МИШУСТИН</w:t>
      </w:r>
    </w:p>
    <w:p w:rsidR="006C1C30" w:rsidRDefault="006C1C30">
      <w:pPr>
        <w:pStyle w:val="ConsPlusNormal0"/>
        <w:jc w:val="right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C30" w:rsidRDefault="001C137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1C30" w:rsidRDefault="001C1372">
            <w:pPr>
              <w:pStyle w:val="ConsPlusNormal0"/>
              <w:jc w:val="both"/>
            </w:pPr>
            <w:r>
              <w:rPr>
                <w:color w:val="392C69"/>
              </w:rPr>
              <w:t xml:space="preserve">Правила </w:t>
            </w:r>
            <w:hyperlink w:anchor="P19" w:tooltip="2. Правила проведения технического осмотра транспортных средств, утвержденные настоящим постановлением, вступают в силу со дня вступления в силу Федерального закона &quot;О внесении изменений в Федеральный закон &quot;О техническом осмотре транспортных средств и о внесе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1C1372">
      <w:pPr>
        <w:pStyle w:val="ConsPlusNormal0"/>
        <w:spacing w:before="300"/>
        <w:jc w:val="right"/>
        <w:outlineLvl w:val="0"/>
      </w:pPr>
      <w:r>
        <w:t>Утверждены</w:t>
      </w:r>
    </w:p>
    <w:p w:rsidR="006C1C30" w:rsidRDefault="001C1372">
      <w:pPr>
        <w:pStyle w:val="ConsPlusNormal0"/>
        <w:jc w:val="right"/>
      </w:pPr>
      <w:r>
        <w:t>постановлением Правительства</w:t>
      </w:r>
    </w:p>
    <w:p w:rsidR="006C1C30" w:rsidRDefault="001C1372">
      <w:pPr>
        <w:pStyle w:val="ConsPlusNormal0"/>
        <w:jc w:val="right"/>
      </w:pPr>
      <w:r>
        <w:t>Российской Федерации</w:t>
      </w:r>
    </w:p>
    <w:p w:rsidR="006C1C30" w:rsidRDefault="001C1372">
      <w:pPr>
        <w:pStyle w:val="ConsPlusNormal0"/>
        <w:jc w:val="right"/>
      </w:pPr>
      <w:r>
        <w:t>от 15 сентября 2020 г. N 1434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Title0"/>
        <w:jc w:val="center"/>
      </w:pPr>
      <w:bookmarkStart w:id="3" w:name="P37"/>
      <w:bookmarkEnd w:id="3"/>
      <w:r>
        <w:t>ПРАВИЛА</w:t>
      </w:r>
    </w:p>
    <w:p w:rsidR="006C1C30" w:rsidRDefault="001C1372">
      <w:pPr>
        <w:pStyle w:val="ConsPlusTitle0"/>
        <w:jc w:val="center"/>
      </w:pPr>
      <w:r>
        <w:t>ПРОВЕДЕНИЯ ТЕХНИЧЕСКОГО ОСМОТРА ТРАНСПОРТНЫХ СРЕДСТВ</w:t>
      </w:r>
    </w:p>
    <w:p w:rsidR="006C1C30" w:rsidRDefault="006C1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30.01.2021 N 89,</w:t>
            </w:r>
          </w:p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от 09.03.2022 N 306, от 09.12.2023 N 2092)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p w:rsidR="006C1C30" w:rsidRDefault="001C1372">
      <w:pPr>
        <w:pStyle w:val="ConsPlusTitle0"/>
        <w:jc w:val="center"/>
        <w:outlineLvl w:val="1"/>
      </w:pPr>
      <w:r>
        <w:t>I. Общие положения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1. Настоящие Правила устанавливают: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а) порядок оказания услуг по проведению технического осмотра транспортных средств, в том числе с использованием передвижной диагностической линии, включая процедуру подтверждения соответствия транспортных средств (в том числе их частей, предметов их дополнительного оборудования) обязательным требованиям безопасности транспортных средств, проводимую в форме технического диагностирования,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также за ее пределами (далее - технический осмотр);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б) особенности проведения технического осмотра вне пунктов технического осмотра с использованием передвижных диагностических линий;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в) порядок аннулирования диагностической карты.</w:t>
      </w:r>
    </w:p>
    <w:p w:rsidR="006C1C30" w:rsidRDefault="006C1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C30" w:rsidRDefault="001C137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1C30" w:rsidRDefault="001C1372">
            <w:pPr>
              <w:pStyle w:val="ConsPlusNormal0"/>
              <w:jc w:val="both"/>
            </w:pPr>
            <w:r>
              <w:rPr>
                <w:color w:val="392C69"/>
              </w:rPr>
              <w:t>ТО ТС органов, осуществляющих оперативно-</w:t>
            </w:r>
            <w:proofErr w:type="spellStart"/>
            <w:r>
              <w:rPr>
                <w:color w:val="392C69"/>
              </w:rPr>
              <w:t>разыскную</w:t>
            </w:r>
            <w:proofErr w:type="spellEnd"/>
            <w:r>
              <w:rPr>
                <w:color w:val="392C69"/>
              </w:rPr>
              <w:t xml:space="preserve"> деятельность (за исключением специально оборудованных), проводится в порядке, установленном данными Правилами (Постановление Правительства РФ от 17.04.2013 N 348).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1C1372">
      <w:pPr>
        <w:pStyle w:val="ConsPlusNormal0"/>
        <w:spacing w:before="300"/>
        <w:ind w:firstLine="540"/>
        <w:jc w:val="both"/>
      </w:pPr>
      <w:r>
        <w:t>2. Настоящие Правила не применяются к отношениям, связанным с проведением технического осмотра транспортных средств городского наземного электрического транспорта, 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законом предусмотрена военная служба, транспортных средств органов, осуществляющих оперативно-</w:t>
      </w:r>
      <w:proofErr w:type="spellStart"/>
      <w:r>
        <w:t>разыскную</w:t>
      </w:r>
      <w:proofErr w:type="spellEnd"/>
      <w:r>
        <w:t xml:space="preserve"> деятельность, а также тракторов, самоходных дорожно-строительных и иных машин, которые имеют двигатель внутреннего сгорания объемом более 50 куб. сантиметров или электродвигатель максимальной мощностью более 4 киловатт, и прицепов к ним и которые зарегистрированы (или подлежат государственной регистрации) органами, осуществляющими государственный надзор за техническим состоянием самоходных машин и других видов техники, если иное не установлено актами Правительства Российской Федерации.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 xml:space="preserve">3. Обязательные требования безопасности транспортных средств, предъявляемые при проведении технического осмотра к транспортным средствам отдельных категорий, приведены в </w:t>
      </w:r>
      <w:hyperlink w:anchor="P103" w:tooltip="ОБЯЗАТЕЛЬНЫЕ ТРЕБОВАНИЯ">
        <w:r>
          <w:rPr>
            <w:color w:val="0000FF"/>
          </w:rPr>
          <w:t>приложении N 1</w:t>
        </w:r>
      </w:hyperlink>
      <w:r>
        <w:t>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 xml:space="preserve">4. При проведении технического осмотра к транспортным средствам не применяются требования, касающиеся наличия подлежащих проверке элементов конструкции, которые не были предусмотрены на транспортном средстве на момент его выпуска в обращение, при условии отсутствия внесения изменений в его конструкцию в части указанных элементов и содержащих их узлов и агрегатов, за исключением требований, касающихся наличия </w:t>
      </w:r>
      <w:proofErr w:type="spellStart"/>
      <w:r>
        <w:t>тахографа</w:t>
      </w:r>
      <w:proofErr w:type="spellEnd"/>
      <w:r>
        <w:t xml:space="preserve"> или контрольного устройства (</w:t>
      </w:r>
      <w:proofErr w:type="spellStart"/>
      <w:r>
        <w:t>тахографа</w:t>
      </w:r>
      <w:proofErr w:type="spellEnd"/>
      <w:r>
        <w:t>) регистрации режима труда и отдыха водителей транспортных средств, предусмотренного Европейским соглашением, касающимся работы экипажей транспортных средств, производящих международные автомобильные перевозки (ЕСТР).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 xml:space="preserve">5. Технический осмотр проводится операторами технического осмотра, аккредитованными в установленном порядке для проведения технического осмотра в области аккредитации, соответствующей категориям транспортных средств, предусмотренным </w:t>
      </w:r>
      <w:hyperlink w:anchor="P103" w:tooltip="ОБЯЗАТЕЛЬНЫЕ ТРЕБОВАНИЯ">
        <w:r>
          <w:rPr>
            <w:color w:val="0000FF"/>
          </w:rPr>
          <w:t>приложениями N 1</w:t>
        </w:r>
      </w:hyperlink>
      <w:r>
        <w:t xml:space="preserve"> и </w:t>
      </w:r>
      <w:hyperlink w:anchor="P722" w:tooltip="ПРОДОЛЖИТЕЛЬНОСТЬ">
        <w:r>
          <w:rPr>
            <w:color w:val="0000FF"/>
          </w:rPr>
          <w:t>2</w:t>
        </w:r>
      </w:hyperlink>
      <w:r>
        <w:t xml:space="preserve"> (далее - операторы технического осмотра).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6. Проведение технического осмотра осуществляется на платной основе в соответствии с договором о проведении технического осмотра, заключаемым владельцем транспортного средства или его представителем, в том числе представителем, действующим на основании доверенности, оформленной в простой письменной форме (далее - заявитель), и оператором технического осмотра по типовой форме, утвержденной Министерством экономического развития Российской Федерации.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7. 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устанавливаются оператором технического осмотра и не могут превышать предельный размер платы за проведение технического осмотра, установленный высшим исполнительным органом государственной власти субъекта Российской Федерации в соответствии с методикой, утвержденной Федеральной антимонопольной службой.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8. Операторы технического осмотра обеспечивают размещение в информационно-телекоммуникационной сети "Интернет"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(при наличии) текста Федерального закона "О техническом осмотре транспортных средств и о внесении изменений в отдельные законодательные акты Российской Федерации", настоящих Правил, информации справочного характера (в том числе адресов оператора технического осмотра, пунктов технического осмотра и мест работы передвижных диагностических линий (при наличии), номеров телефонов, адреса электронной почты, адреса сайта оператора технического осмотра в информационно-телекоммуникационной сети "Интернет"), актуальной информации о режиме работы пунктов технического осмотра и передвижных диагностических линий (при наличии), информации о размерах платы за проведение технического осмотра и платы за проведение повторного технического осмотра, перечня документов, необходимых для прохождения технического осмотра, копии аттестата аккредитации оператора технического осмотра и сведений о наличии передвижных диагностических линий (при наличии), типовой формы договора о проведении технического осмотра, а также информации о возможности предварительной записи на технический осмотр.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Title0"/>
        <w:jc w:val="center"/>
        <w:outlineLvl w:val="1"/>
      </w:pPr>
      <w:r>
        <w:t>II. Порядок оказания услуг по проведению</w:t>
      </w:r>
    </w:p>
    <w:p w:rsidR="006C1C30" w:rsidRDefault="001C1372">
      <w:pPr>
        <w:pStyle w:val="ConsPlusTitle0"/>
        <w:jc w:val="center"/>
      </w:pPr>
      <w:r>
        <w:t>технического осмотра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bookmarkStart w:id="4" w:name="P62"/>
      <w:bookmarkEnd w:id="4"/>
      <w:r>
        <w:t>9.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представляет транспортное средство, а также следующие документы: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а) документ, удостоверяющий личность;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б) свидетельство о регистрации транспортного средства или паспорт транспортного средства (выписка из электронного паспорта транспортного средства).</w:t>
      </w:r>
    </w:p>
    <w:p w:rsidR="006C1C30" w:rsidRDefault="001C1372">
      <w:pPr>
        <w:pStyle w:val="ConsPlusNormal0"/>
        <w:jc w:val="both"/>
      </w:pPr>
      <w:r>
        <w:t>(в ред. Постановления Правительства РФ от 09.12.2023 N 2092)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 xml:space="preserve">10. В случае непредставления заявителем указанных в </w:t>
      </w:r>
      <w:hyperlink w:anchor="P62" w:tooltip="9.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представляет транспортное средство, а также сле">
        <w:r>
          <w:rPr>
            <w:color w:val="0000FF"/>
          </w:rPr>
          <w:t>пункте 9</w:t>
        </w:r>
      </w:hyperlink>
      <w:r>
        <w:t xml:space="preserve"> настоящих Правил документов либо в случае отказа от оплаты услуг по проведению технического осмотра оператор технического осмотра отказывает заявителю в оказании услуг по проведению технического осмотра.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11. Оператор технического осмотра устанавливает тождественность идентификационного номера транспортного средства и (или) идентификационных номеров основных компонентов транспортного средства (кузова, рамы, кабины) и данных, содержащихся в свидетельстве о регистрации транспортного средства или паспорте транспортного средства (выписке из электронного паспорта транспортного средства).</w:t>
      </w:r>
    </w:p>
    <w:p w:rsidR="006C1C30" w:rsidRDefault="001C1372">
      <w:pPr>
        <w:pStyle w:val="ConsPlusNormal0"/>
        <w:jc w:val="both"/>
      </w:pPr>
      <w:r>
        <w:t>(в ред. Постановления Правительства РФ от 09.12.2023 N 2092)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При несоответствии данных транспортного средства, в том числе его идентификационного номера и (или) идентификационных номеров его основных компонентов (кузова, рамы, кабины), данным документов, идентифицирующих это транспортное средство, оператор технического осмотра вносит в единую автоматизированную информационную систему технического осмотра информацию об отказе в оказании услуг по проведению технического осмотра. Такая информация содержит указание на выявленные несоответствия.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При соответствии данных транспортного средства данным документов, идентифицирующих транспортное средство, это транспортное средство допускается к проведению технического диагностирования.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12. Техническое диагностирование осуществляется техническими экспертами, отвечающими квалификационным требованиям, установленным Министерством промышленности и торговли Российской Федерации,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13. 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линий, обеспечивающих выполнение в полном объеме процедуры технического осмотра в соответствии с требованиями к производственно-технической базе, фотографическому изображению транспортного средства, точности определения координат места проведения технического диагностирования и требованиями документов, содержащихся в перечне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утвержденном распоряжением Правительства Российской Федерации от 4 ноября 2017 г. N 2438-р.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 xml:space="preserve">14. Продолжительность технического диагностирования транспортных средств отдельных категорий приводится в </w:t>
      </w:r>
      <w:hyperlink w:anchor="P722" w:tooltip="ПРОДОЛЖИТЕЛЬНОСТЬ">
        <w:r>
          <w:rPr>
            <w:color w:val="0000FF"/>
          </w:rPr>
          <w:t>приложении N 2</w:t>
        </w:r>
      </w:hyperlink>
      <w:r>
        <w:t xml:space="preserve"> к настоящим Правилам.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 xml:space="preserve">15. 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</w:t>
      </w:r>
      <w:hyperlink w:anchor="P878" w:tooltip="ДИАГНОСТИЧЕСКАЯ КАРТА">
        <w:r>
          <w:rPr>
            <w:color w:val="0000FF"/>
          </w:rPr>
          <w:t>приложению N 3</w:t>
        </w:r>
      </w:hyperlink>
      <w:r>
        <w:t>, содержащую заключение о соответствии или несоответствии транспортного средства обязательным требованиям безопасности транспортных средств (подтверждающую или не подтверждающую допуск транспортного средства к участию в дорожном движении), которая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По запросу заявителя оператор технического осмотра выдает диагностическую карту на 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Правила заполнения диагностической карты утверждаются Министерством транспорта Российской Федерации.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16. Транспортное средство, в отношении которого оформлена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 транспортного средства к участию в дорожном движении), подлежит повторному техническому осмотру, проводимому в порядке, предусмотренном настоящими Правилами, с учетом особенностей, установленных статьей 18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Title0"/>
        <w:jc w:val="center"/>
        <w:outlineLvl w:val="1"/>
      </w:pPr>
      <w:r>
        <w:t>III. Особенности проведения технического осмотра</w:t>
      </w:r>
    </w:p>
    <w:p w:rsidR="006C1C30" w:rsidRDefault="001C1372">
      <w:pPr>
        <w:pStyle w:val="ConsPlusTitle0"/>
        <w:jc w:val="center"/>
      </w:pPr>
      <w:r>
        <w:t>вне пунктов технического осмотра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17. Проведение 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осмотра, предусмотренных статьей 6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18. Оператор технического осмотра, являющийся владельцем передвижной диагностической линии, проводит технический осмотр с использованием передвижной диагностической линии в границах субъекта Российской Федерации, в котором расположен пункт технического осмотра такого оператора технического осмотра.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19. Адреса (координаты) мест проведения технического осмотра, в том числе с использованием передвижной диагностической линии, во входящих в состав субъекта Российской Федерации муниципальных образованиях, в которых не соблюдаются нормативы минимальной обеспеченности населения пунктами технического осмотра, согласовываются оператором технического осмотра с исполнительным органом государственной власти субъекта Российской Федерации, уполномоченным на принятие мер по организации проведения технического осмотра.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20. График работы пункта технического осмотра, использующего передвижную диагностическую линию (с учетом климатических условий эксплуатации, установленных заводом-изготовителем передвижных диагностических линий), согласовывается с исполнительным органом государственной власти субъекта Российской Федерации, уполномоченным на принятие мер по организации технического осмотра в регионе.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Title0"/>
        <w:jc w:val="center"/>
        <w:outlineLvl w:val="1"/>
      </w:pPr>
      <w:r>
        <w:t>IV. Порядок аннулирования диагностической карты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21. В случаях, указанных в части 10 статьи 19 Федерального закона "О техническом осмотре транспортных средств и о внесении изменений в отдельные законодательные акты Российской Федерации", диагностическая карта аннулируется органом федерального государственного контроля (надзора) в области безопасности дорожного движения путем внесения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(заместителя руководителя) такого органа одновременно с выдачей предписания об устранении выявленных нарушений обязательных требований.</w:t>
      </w:r>
    </w:p>
    <w:p w:rsidR="006C1C30" w:rsidRDefault="001C1372">
      <w:pPr>
        <w:pStyle w:val="ConsPlusNormal0"/>
        <w:jc w:val="both"/>
      </w:pPr>
      <w:r>
        <w:t>(п. 21 в ред. Постановления Правительства РФ от 09.12.2023 N 2092)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22. Орган федерального государственного контроля (надзора) в области безопасности дорожного движения в течение 3 рабочих дней со дня аннулирования диагностической карты информирует о таком аннулировании страховщика,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карты, и (или) профессиональное объединение страховщиков, а также собственника транспортного средства и оператора технического осмотра, оформившего эту диагностическую карту.</w:t>
      </w:r>
    </w:p>
    <w:p w:rsidR="006C1C30" w:rsidRDefault="001C1372">
      <w:pPr>
        <w:pStyle w:val="ConsPlusNormal0"/>
        <w:jc w:val="both"/>
      </w:pPr>
      <w:r>
        <w:t>(п. 22 в ред. Постановления Правительства РФ от 09.12.2023 N 2092)</w:t>
      </w: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jc w:val="right"/>
        <w:outlineLvl w:val="1"/>
      </w:pPr>
      <w:r>
        <w:t>Приложение N 1</w:t>
      </w:r>
    </w:p>
    <w:p w:rsidR="006C1C30" w:rsidRDefault="001C1372">
      <w:pPr>
        <w:pStyle w:val="ConsPlusNormal0"/>
        <w:jc w:val="right"/>
      </w:pPr>
      <w:r>
        <w:t>к Правилам проведения технического</w:t>
      </w:r>
    </w:p>
    <w:p w:rsidR="006C1C30" w:rsidRDefault="001C1372">
      <w:pPr>
        <w:pStyle w:val="ConsPlusNormal0"/>
        <w:jc w:val="right"/>
      </w:pPr>
      <w:r>
        <w:t>осмотра транспортных средств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Title0"/>
        <w:jc w:val="center"/>
      </w:pPr>
      <w:bookmarkStart w:id="5" w:name="P103"/>
      <w:bookmarkEnd w:id="5"/>
      <w:r>
        <w:t>ОБЯЗАТЕЛЬНЫЕ ТРЕБОВАНИЯ</w:t>
      </w:r>
    </w:p>
    <w:p w:rsidR="006C1C30" w:rsidRDefault="001C1372">
      <w:pPr>
        <w:pStyle w:val="ConsPlusTitle0"/>
        <w:jc w:val="center"/>
      </w:pPr>
      <w:r>
        <w:t>БЕЗОПАСНОСТИ, ПРЕДЪЯВЛЯЕМЫЕ ПРИ ПРОВЕДЕНИИ ТЕХНИЧЕСКОГО</w:t>
      </w:r>
    </w:p>
    <w:p w:rsidR="006C1C30" w:rsidRDefault="001C1372">
      <w:pPr>
        <w:pStyle w:val="ConsPlusTitle0"/>
        <w:jc w:val="center"/>
      </w:pPr>
      <w:r>
        <w:t>ОСМОТРА К ТРАНСПОРТНЫМ СРЕДСТВАМ ОТДЕЛЬНЫХ КАТЕГОРИЙ</w:t>
      </w:r>
    </w:p>
    <w:p w:rsidR="006C1C30" w:rsidRDefault="006C1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09.03.2022 N 306)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567"/>
        <w:gridCol w:w="567"/>
        <w:gridCol w:w="567"/>
        <w:gridCol w:w="510"/>
        <w:gridCol w:w="510"/>
        <w:gridCol w:w="567"/>
        <w:gridCol w:w="567"/>
        <w:gridCol w:w="567"/>
        <w:gridCol w:w="567"/>
      </w:tblGrid>
      <w:tr w:rsidR="006C1C30"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 xml:space="preserve">Категории транспортных средств </w:t>
            </w:r>
            <w:hyperlink w:anchor="P707" w:tooltip="&lt;1&gt; Категории транспортных средств соответствуют классификации, установленной в подпункте 1.1 приложения N 1 к техническому регламенту Таможенного союза &quot;О безопасности колесных транспортных средств&quot; (ТР ТС 018/2011)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>M1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>N1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>M2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>N2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>M3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>N3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>O1, O2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>O3, O4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L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  <w:outlineLvl w:val="2"/>
            </w:pPr>
            <w:r>
              <w:t>I. Тормозные системы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1. Показатели эффективности тормозной системы и устойчивости транспортного средства должны соответствовать требованиям пунктов 1.2 - 1.6, 1.8, 1.10 приложения N 8 к техническому регламенту Таможенного союза "О безопасности колесных транспортных средств" (ТР ТС 018/2011), утвержденному решением Комиссии Таможенного союза от 9 декабря 2011 г. N 877 (далее - ТР ТС 018/2011)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2. При проверках на стендах допускается относительная разность тормозных сил колес оси согласно пункту 1.4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3. Рабочая тормозная система автопоездов с пневматическим тормозным приводом в режиме аварийного (автоматического) торможения должна быть работоспособна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4. Утечки сжатого воздуха из колесных тормозных камер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5. </w:t>
            </w:r>
            <w:proofErr w:type="spellStart"/>
            <w:r>
              <w:t>Подтекания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6. Наличие деталей с трещинами или остаточной деформацией в тормозном приводе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7. Средства сигнализации и контроля тормозных систем, манометры пневматического и пневмогидравлического тормозного привода, устройство фиксации органа управления стояночной тормозной системы должны быть работоспособны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8. Набухание тормозных шлангов под давлением, наличие трещин на них и видимых мест перетирания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9.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(полуприцепа)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  <w:outlineLvl w:val="2"/>
            </w:pPr>
            <w:r>
              <w:t>II. Рулевое управление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10. 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транспортного средства (при его наличии на транспортном средстве)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11. Самопроизвольный поворот рулевого колеса с усилителем рулевого управления от нейтрального положения при работающем двигателе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12. Суммарный люфт в рулевом управлении не должен превышать предельных значений, установленных изготовителем транспортного средства, а при отсутствии указанных данных - предельных значений, указанных в пункте 2.3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13. Повреждения и отсутствие деталей крепления рулевой колонки и картера рулевого механизма не допускаются. Резьбовые соединения должны быть затянуты и зафиксированы способом, предусмотренным изготовителем транспортного средства.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14. Применение в рулевом механизме и рулевом приводе деталей со следами остаточной деформации, с трещинами,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15. Максимальный поворот рулевого колеса должен ограничиваться только устройствами, предусмотренными конструкцией транспортного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  <w:outlineLvl w:val="2"/>
            </w:pPr>
            <w:r>
              <w:t>III. Внешние световые приборы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16. На транспортных средствах применение устройств освещения и световой сигнализации определяется требованиями пунктов 3.1 - 3.6, а также таблицы 3.1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17. 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18. Углы регулировки и сила света фар должны соответствовать требованиям пунктов 3.8.4 - 3.8.8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19. Изменение мест расположения и демонтаж предусмотренных конструкцией внешних световых приборов не допускаются </w:t>
            </w:r>
            <w:hyperlink w:anchor="P708" w:tooltip="&lt;2&gt; Требование, предусмотренное настоящим пунктом, не препятствует установке световых приборов в целях устранения несоответствия другим требованиям к внешним световым приборам. На транспортных средствах, снятых с производства, допускается замена внешних светов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20. Следующие компоненты транспортных средств согласно их типу должны соответствовать требованиям пунктов приложения N 8 к ТР ТС 018/2011:</w:t>
            </w:r>
          </w:p>
          <w:p w:rsidR="006C1C30" w:rsidRDefault="001C1372">
            <w:pPr>
              <w:pStyle w:val="ConsPlusNormal0"/>
            </w:pPr>
            <w:r>
              <w:t>светоотражающая маркировка - пункту 3.7;</w:t>
            </w:r>
          </w:p>
          <w:p w:rsidR="006C1C30" w:rsidRDefault="001C1372">
            <w:pPr>
              <w:pStyle w:val="ConsPlusNormal0"/>
            </w:pPr>
            <w:r>
              <w:t>фары ближнего и дальнего света и противотуманные - пункту 3.8.1;</w:t>
            </w:r>
          </w:p>
          <w:p w:rsidR="006C1C30" w:rsidRDefault="001C1372">
            <w:pPr>
              <w:pStyle w:val="ConsPlusNormal0"/>
            </w:pPr>
            <w:r>
              <w:t>источники света в фарах - пункту 3.8.2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  <w:outlineLvl w:val="2"/>
            </w:pPr>
            <w:r>
              <w:t>IV. Стеклоочистители и стеклоомыватели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21. Стеклоочистители и стеклоомыватели должны быть работоспособны.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  <w:outlineLvl w:val="2"/>
            </w:pPr>
            <w:r>
              <w:t>V. Шины и колеса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22. Высота рисунка протектора шин должна соответствовать требованиям пунктов 5.6.1 - 5.6.3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23. Шина считается непригодной к эксплуатации в случаях, установленных пунктом 5.6.5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24. Отсутствие хотя бы одного болта или гайки крепления дисков и ободьев колес не допускается. Замена золотников заглушками, пробками и другими приспособлениями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25. Наличие трещин на дисках и ободьях колес, следов их устранения сваркой, а также видимые нарушения формы и размеров крепежных отверстий в дисках колес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26. Установка на одну ось транспортного средства шин разных размеров, конструкций (радиальной, диагональной, камерной, бескамерной), моделей, с разными рисунками протектора, морозостойких и неморозостойких, новых и восстановленных, новых и с углубленным рисунком протектора не допускается. Шины с шипами противоскольжения в случае их применения должны быть установлены на все колеса транспортного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  <w:outlineLvl w:val="2"/>
            </w:pPr>
            <w:r>
              <w:t>VI. Двигатель и его системы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27. Содержание загрязняющих веществ в отработавших газах транспортных средств должно соответствовать требованиям пунктов 9.1 и 9.2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28. </w:t>
            </w:r>
            <w:proofErr w:type="spellStart"/>
            <w:r>
              <w:t>Подтекание</w:t>
            </w:r>
            <w:proofErr w:type="spellEnd"/>
            <w:r>
              <w:t xml:space="preserve"> и каплепадение топлива в системе питания бензиновых и дизельных двигателей не допускаются. Подсос воздуха и (или) утечка отработавших газов, минуя систему выпуска,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29. Запорные устройства топливных баков и устройства перекрытия топлива должны быть работоспособны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30. Система питания газобаллонных транспортных средств, ее размещение и установка должны соответствовать требованиям пункта 9.8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  <w:outlineLvl w:val="2"/>
            </w:pPr>
            <w:r>
              <w:t>VII. Прочие элементы конструкции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31. Транспортное средство должно быть укомплектовано обеспечивающими поля обзора зеркалами заднего вида согласно таблице 4.1 приложения N 8 к ТР ТС 018/2011. При отсутствии возможности обзора через задние стекла легковых автомобилей необходима установка наружных зеркал заднего вида с обеих сторон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32. Светопропускание ветрового стекла и стекол, через которые обеспечивается передняя обзорность для водителя, должно соответствовать требованиям пункта 4.3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33. Наличие трещин на ветровых стеклах транспортных средств в зоне очистки стеклоочистителем половины стекла, расположенной со стороны водителя,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34. Замки дверей кузова или кабины, механизмы регулировки и фиксирующие устройства сидений водителя, устройство обогрева и обдува ветрового стекла должны быть работоспособны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35. Запоры бортов грузовой платформы и запоры горловин цистерн должны быть работоспособны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36. Аварийный выключатель дверей, аварийные выходы и устройства приведения их в действие должны быть работоспособны. Аварийные выходы должны быть обозначены и иметь таблички, содержащие правила их использования. Должен быть обеспечен свободный доступ к аварийным выходам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37. Транспортное средство должно быть укомплектовано звуковым сигнальным прибором в рабочем состоянии. Звуковой сигнальный прибор должен при приведении в действие органа его управления издавать непрерывный и монотонный звук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38. Не допускается наличие дополнительных предметов или покрытий, ограничивающих 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стекла). В верхней части ветрового стекла допускается крепление полосы прозрачной цветной пленки шириной, соответствующей требованиям пункта 4.3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39. Задние и боковые защитные устройства должны соответствовать требованиям раздела 8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40. Замок седельно-сцепного устройства седельных автомобилей-тягачей должен после сцепки закрываться автоматически. Ручная и автоматическая блокировки седельно-сцепного устройства должны предотвращать самопроизвольное расцепление тягача и полуприцепа. Деформации, разрывы, трещины и другие видимые повреждения сцепного шкворня, гнезда шкворня, опорной плиты, тягового крюка, шара тягово-сцепного устройства, трещины, разрушения, в том числе местные, или отсутствие деталей сцепных устройств и их крепления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41. Одноосные прицепы (за исключением роспусков) и прицепы, не оборудованные рабочей тормозной системой, должны быть оборудованы предохранительными приспособлениями (цепями, тросами), которые должны быть работоспособны.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 Предохранительные цепи (тросы) не должны крепиться к деталям тягово-сцепного устройства или деталям его 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42. Прицепы (за исключением одноосных и роспусков) должны быть оборудованы устройством, поддерживающим сцепную петлю дышла в положении, облегчающем сцепку и расцепку с тяговым автомобилем. Деформации сцепной петли или дышла прицепа, грубо нарушающие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43. Продольный люфт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прицепом тягача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44. Места для сидения в транспортных средствах, конструкция которых предусматривает наличие ремней безопасности, должны быть ими оборудованы в соответствии с требованиями нормативных правовых актов, действовавших на дату выпуска транспортного средства в обращение. Ремни безопасности не должны иметь следующих дефектов:</w:t>
            </w:r>
          </w:p>
          <w:p w:rsidR="006C1C30" w:rsidRDefault="001C1372">
            <w:pPr>
              <w:pStyle w:val="ConsPlusNormal0"/>
            </w:pPr>
            <w:r>
              <w:t>надрыв на лямке, видимый невооруженным глазом;</w:t>
            </w:r>
          </w:p>
          <w:p w:rsidR="006C1C30" w:rsidRDefault="001C1372">
            <w:pPr>
              <w:pStyle w:val="ConsPlusNormal0"/>
            </w:pPr>
            <w:r>
              <w:t>замок не фиксирует "язык" лямки или не выбрасывает его после нажатия на кнопку замыкающего устройства;</w:t>
            </w:r>
          </w:p>
          <w:p w:rsidR="006C1C30" w:rsidRDefault="001C1372">
            <w:pPr>
              <w:pStyle w:val="ConsPlusNormal0"/>
            </w:pPr>
            <w:r>
              <w:t>лямка не вытягивается или не втягивается во втягивающее устройство (катушку);</w:t>
            </w:r>
          </w:p>
          <w:p w:rsidR="006C1C30" w:rsidRDefault="001C1372">
            <w:pPr>
              <w:pStyle w:val="ConsPlusNormal0"/>
            </w:pPr>
            <w:r>
              <w:t>при резком вытягивании лямки ремня не обеспечивается прекращение (блокирование) ее вытягивания из втягивающего устройства (катушки)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45. Поручни в автобусах, запасное колесо, аккумуляторные батареи, сиденья, а также огнетушители и медицинская аптечка на транспортных средствах, оборудованных приспособлениями для их крепления, должны быть надежно закреплены в местах, предусмотренных конструкцией транспортного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46. На транспортных средствах, оборудованных механизмами продольной регулировки положения подушки и угла наклона спинки сиденья или механизмом перемещения сиденья (для посадки и высадки пассажиров), указанные механизмы должны быть работоспособны. После прекращения регулирования или пользования эти механизмы должны автоматически блокироваться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47. Транспортные средства технически допустимой максимальной массой свыше 7,5 тонны должны быть оборудованы </w:t>
            </w:r>
            <w:proofErr w:type="spellStart"/>
            <w:r>
              <w:t>надколесными</w:t>
            </w:r>
            <w:proofErr w:type="spellEnd"/>
            <w:r>
              <w:t xml:space="preserve"> грязезащитными устройствами. Ширина этих устройств должна быть не менее ширины применяемых шин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48. Вертикальная статическая нагрузка на тяговое устройство автомобиля от цепной петли одноосного прицепа (прицепа-роспуска) в снаряженном состоянии должна соответствовать требованиям пункта 2.3 приложения N 5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49. Держатель запасного колеса, лебедка и механизм подъема-опускания запасного колеса должны быть работоспособны. Храповое устройство лебедки должно четко фиксировать барабан с крепежным канатом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50. Механизмы подъема и опускания опор и фиксаторы транспортного положения опор, предназначенные для предотвращения их самопроизвольного опускания при движении транспортного средства, должны быть работоспособны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51. На транспортных средствах, оснащенных устройствами или системами вызова экстренных оперативных служб, такие устройства или системы должны быть работоспособны (наличие двухсторонней голосовой связи с оператором вызова экстренных оперативных служб)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52. Изменения в конструкции транспортного средства, внесенные в нарушение требований, установленных разделом 4 главы V ТР ТС 018/2011, не допускаются </w:t>
            </w:r>
            <w:hyperlink w:anchor="P709" w:tooltip="&lt;3&gt;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53. Транспортные средства категорий M2 и M3 должны отвечать дополнительным требованиям, установленным в разделе 13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54. Специальные и специализированные транспортные средства должны отвечать следующим дополнительным требованиям:</w:t>
            </w:r>
          </w:p>
          <w:p w:rsidR="006C1C30" w:rsidRDefault="001C1372">
            <w:pPr>
              <w:pStyle w:val="ConsPlusNormal0"/>
            </w:pPr>
            <w:r>
              <w:t>специальные транспортные средства оперативных служб - установленным в разделе 14 приложения N 8 к ТР ТС 018/2011;</w:t>
            </w:r>
          </w:p>
          <w:p w:rsidR="006C1C30" w:rsidRDefault="001C1372">
            <w:pPr>
              <w:pStyle w:val="ConsPlusNormal0"/>
            </w:pPr>
            <w:r>
              <w:t>специализированные транспортные средства - установленным пунктами 15.1 - 15.4, 15.6 приложения N 8 к ТР ТС 018/2011;</w:t>
            </w:r>
          </w:p>
          <w:p w:rsidR="006C1C30" w:rsidRDefault="001C1372">
            <w:pPr>
              <w:pStyle w:val="ConsPlusNormal0"/>
            </w:pPr>
            <w:r>
              <w:t>специальные транспортные средства для коммунального хозяйства и содержания дорог - установленным пунктами 16.2, 16.4 и 16.5 приложения N 8 к ТР ТС 018/2011;</w:t>
            </w:r>
          </w:p>
          <w:p w:rsidR="006C1C30" w:rsidRDefault="001C1372">
            <w:pPr>
              <w:pStyle w:val="ConsPlusNormal0"/>
            </w:pPr>
            <w:r>
              <w:t>транспортные средства для перевозки грузов с использованием прицепа-роспуска - установленным пунктами 17.1, 17.3 и 17.4 приложения N 8 к ТР ТС 018/2011;</w:t>
            </w:r>
          </w:p>
          <w:p w:rsidR="006C1C30" w:rsidRDefault="001C1372">
            <w:pPr>
              <w:pStyle w:val="ConsPlusNormal0"/>
            </w:pPr>
            <w:proofErr w:type="spellStart"/>
            <w:r>
              <w:t>автоэвакуаторы</w:t>
            </w:r>
            <w:proofErr w:type="spellEnd"/>
            <w:r>
              <w:t xml:space="preserve"> - установленным в разделе 18 приложения N 8 к ТР ТС 018/2011;</w:t>
            </w:r>
          </w:p>
          <w:p w:rsidR="006C1C30" w:rsidRDefault="001C1372">
            <w:pPr>
              <w:pStyle w:val="ConsPlusNormal0"/>
            </w:pPr>
            <w:r>
              <w:t>транспортные средства с грузоподъемными устройствами - установленным в разделе 19 приложения N 8 к ТР ТС 018/2011;</w:t>
            </w:r>
          </w:p>
          <w:p w:rsidR="006C1C30" w:rsidRDefault="001C1372">
            <w:pPr>
              <w:pStyle w:val="ConsPlusNormal0"/>
            </w:pPr>
            <w:r>
              <w:t>транспортные средства для перевозки опасных грузов - установленным пунктами 20.1 - 20.4, 20.9 - 20.13, подпунктами 20.14.3 - 20.14.11, 20.14.13 - 20.14.26 пункта 20.14 приложения N 8 к ТР ТС 018/2011;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средства-цистерны - установленным пунктом 21.1, подпунктами 21.2.1 и 21.2.2 пункта 21.2 приложения N 8 к ТР ТС 018/2011;</w:t>
            </w:r>
          </w:p>
          <w:p w:rsidR="006C1C30" w:rsidRDefault="001C1372">
            <w:pPr>
              <w:pStyle w:val="ConsPlusNormal0"/>
            </w:pPr>
            <w:r>
              <w:t>транспортные средства-цистерны для перевозки и заправки нефтепродуктов - установленным пунктами 22.1, 22.4 - 22.9 приложения N 8 к ТР ТС 018/2011;</w:t>
            </w:r>
          </w:p>
          <w:p w:rsidR="006C1C30" w:rsidRDefault="001C1372">
            <w:pPr>
              <w:pStyle w:val="ConsPlusNormal0"/>
            </w:pPr>
            <w:r>
              <w:t>транспортные средства-цистерны для перевозки и заправки сжиженных углеводородных газов - установленным в разделе 23 приложения N 8 к ТР ТС 018/2011;</w:t>
            </w:r>
          </w:p>
          <w:p w:rsidR="006C1C30" w:rsidRDefault="001C1372">
            <w:pPr>
              <w:pStyle w:val="ConsPlusNormal0"/>
            </w:pPr>
            <w:r>
              <w:t>транспортные средства-фургоны - установленным в разделе 24 приложения N 8 к ТР ТС 018/2011;</w:t>
            </w:r>
          </w:p>
          <w:p w:rsidR="006C1C30" w:rsidRDefault="001C1372">
            <w:pPr>
              <w:pStyle w:val="ConsPlusNormal0"/>
            </w:pPr>
            <w:r>
              <w:t>транспортные средства-фургоны, имеющие места для перевозки людей, - установленным подпунктами 25.1.1 - 25.1.3 пункта 25.1 приложения N 8 к ТР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55. Транспортное средство должно быть оснащено </w:t>
            </w:r>
            <w:proofErr w:type="spellStart"/>
            <w:r>
              <w:t>тахографом</w:t>
            </w:r>
            <w:proofErr w:type="spellEnd"/>
            <w:r>
              <w:t xml:space="preserve"> или контрольным устройством (</w:t>
            </w:r>
            <w:proofErr w:type="spellStart"/>
            <w:r>
              <w:t>тахографом</w:t>
            </w:r>
            <w:proofErr w:type="spellEnd"/>
            <w:r>
              <w:t xml:space="preserve">) регистрации режима труда и отдыха водителей транспортных средств, предусмотренным Европейским соглашением, касающимся работы экипажей транспортных средств, производящих международные автомобильные перевозки (ЕСТР) </w:t>
            </w:r>
            <w:hyperlink w:anchor="P710" w:tooltip="&lt;4&gt; В случае если транспортное средство подлежит оснащению тахографом в соответствии с требованием законодательства Российской Федерации или контрольным устройством (тахографом) в соответствии с требованиями законодательства Российской Федерации и требованиями">
              <w:r>
                <w:rPr>
                  <w:color w:val="0000FF"/>
                </w:rPr>
                <w:t>&lt;4&gt;</w:t>
              </w:r>
            </w:hyperlink>
            <w:r>
              <w:t xml:space="preserve">. </w:t>
            </w:r>
            <w:proofErr w:type="spellStart"/>
            <w:r>
              <w:t>Тахограф</w:t>
            </w:r>
            <w:proofErr w:type="spellEnd"/>
            <w:r>
              <w:t xml:space="preserve"> должен иметь настройку, проведенную не позднее 3 лет до дня представления транспортного средства на очередной технический осмотр, выводить на печать информацию о регистрационных данных транспортного средства (идентификационный номер, государственный регистрационный номер (при их наличии), номере активизированного в составе этого </w:t>
            </w:r>
            <w:proofErr w:type="spellStart"/>
            <w:r>
              <w:t>тахографа</w:t>
            </w:r>
            <w:proofErr w:type="spellEnd"/>
            <w:r>
              <w:t xml:space="preserve"> программно-аппаратного шифровального (криптографического) средства, текущей дате и времени, а сведения о результатах поверки </w:t>
            </w:r>
            <w:proofErr w:type="spellStart"/>
            <w:r>
              <w:t>тахографа</w:t>
            </w:r>
            <w:proofErr w:type="spellEnd"/>
            <w:r>
              <w:t>, подтверждающие его пригодность для применения, содержатся в Федеральном информационном фонде по обеспечению единства измерений.</w:t>
            </w:r>
          </w:p>
          <w:p w:rsidR="006C1C30" w:rsidRDefault="001C1372">
            <w:pPr>
              <w:pStyle w:val="ConsPlusNormal0"/>
            </w:pPr>
            <w:r>
              <w:t>Контрольное устройство (</w:t>
            </w:r>
            <w:proofErr w:type="spellStart"/>
            <w:r>
              <w:t>тахограф</w:t>
            </w:r>
            <w:proofErr w:type="spellEnd"/>
            <w:r>
              <w:t>) должно быть проверено, в том числе откалибровано, в соответствии с требованиями ЕСТР, не позднее 2 лет до дня представления транспортного средства на очередной технический осмотр, иметь знак официального утверждения типа. На транспортном средстве, оснащенном контрольным устройством (</w:t>
            </w:r>
            <w:proofErr w:type="spellStart"/>
            <w:r>
              <w:t>тахографом</w:t>
            </w:r>
            <w:proofErr w:type="spellEnd"/>
            <w:r>
              <w:t>) (либо на самом контрольном устройстве (</w:t>
            </w:r>
            <w:proofErr w:type="spellStart"/>
            <w:r>
              <w:t>тахографе</w:t>
            </w:r>
            <w:proofErr w:type="spellEnd"/>
            <w:r>
              <w:t>), должна быть размещена установочная табличка с информацией о характеристическом коэффициенте транспортного средства и дате его определения, об эффективной окружности шин колес и о дате их измерения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-</w:t>
            </w:r>
          </w:p>
        </w:tc>
      </w:tr>
    </w:tbl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--------------------------------</w:t>
      </w:r>
    </w:p>
    <w:p w:rsidR="006C1C30" w:rsidRDefault="001C1372">
      <w:pPr>
        <w:pStyle w:val="ConsPlusNormal0"/>
        <w:spacing w:before="240"/>
        <w:ind w:firstLine="540"/>
        <w:jc w:val="both"/>
      </w:pPr>
      <w:bookmarkStart w:id="6" w:name="P707"/>
      <w:bookmarkEnd w:id="6"/>
      <w:r>
        <w:t>&lt;1&gt; Категории транспортных средств соответствуют классификации, установленной в подпункте 1.1 приложения N 1 к техническому регламенту Таможенного союза "О безопасности колесных транспортных средств" (ТР ТС 018/2011).</w:t>
      </w:r>
    </w:p>
    <w:p w:rsidR="006C1C30" w:rsidRDefault="001C1372">
      <w:pPr>
        <w:pStyle w:val="ConsPlusNormal0"/>
        <w:spacing w:before="240"/>
        <w:ind w:firstLine="540"/>
        <w:jc w:val="both"/>
      </w:pPr>
      <w:bookmarkStart w:id="7" w:name="P708"/>
      <w:bookmarkEnd w:id="7"/>
      <w:r>
        <w:t>&lt;2&gt; Требование, предусмотренное настоящим пунктом, не препятствует установке световых приборов в целях устранения несоответствия другим требованиям к внешним световым приборам. На транспортных средствах, снятых с производства, допускается замена внешних световых приборов на такие приборы, используемые на транспортных средствах других типов, при условии соблюдения требований технического регламента Таможенного союза "О безопасности колесных транспортных средств" (ТР ТС 018/2011).</w:t>
      </w:r>
    </w:p>
    <w:p w:rsidR="006C1C30" w:rsidRDefault="001C1372">
      <w:pPr>
        <w:pStyle w:val="ConsPlusNormal0"/>
        <w:spacing w:before="240"/>
        <w:ind w:firstLine="540"/>
        <w:jc w:val="both"/>
      </w:pPr>
      <w:bookmarkStart w:id="8" w:name="P709"/>
      <w:bookmarkEnd w:id="8"/>
      <w:r>
        <w:t>&lt;3&gt;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постановлением Правительства Российской Федерации от 6 апреля 2019 г. N 413 "Об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"О безопасности колесных транспортных средств" или наличием соответствующей записи в свидетельстве о регистрации транспортного средства.</w:t>
      </w:r>
    </w:p>
    <w:p w:rsidR="006C1C30" w:rsidRDefault="001C1372">
      <w:pPr>
        <w:pStyle w:val="ConsPlusNormal0"/>
        <w:spacing w:before="240"/>
        <w:ind w:firstLine="540"/>
        <w:jc w:val="both"/>
      </w:pPr>
      <w:bookmarkStart w:id="9" w:name="P710"/>
      <w:bookmarkEnd w:id="9"/>
      <w:r>
        <w:t xml:space="preserve">&lt;4&gt; В случае если транспортное средство подлежит оснащению </w:t>
      </w:r>
      <w:proofErr w:type="spellStart"/>
      <w:r>
        <w:t>тахографом</w:t>
      </w:r>
      <w:proofErr w:type="spellEnd"/>
      <w:r>
        <w:t xml:space="preserve"> в соответствии с требованием законодательства Российской Федерации или контрольным устройством (</w:t>
      </w:r>
      <w:proofErr w:type="spellStart"/>
      <w:r>
        <w:t>тахографом</w:t>
      </w:r>
      <w:proofErr w:type="spellEnd"/>
      <w:r>
        <w:t>) в соответствии с требованиями законодательства Российской Федерации и требованиями Европейского соглашения, касающегося работы экипажей транспортных средств, производящих международные автомобильные перевозки (ЕСТР).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Примечание. Символ "X" означает, что требование применяется к транспортному средству соответствующей категории. Символ "-" означает, что требование не применяется к транспортному средству соответствующей категории.</w:t>
      </w:r>
    </w:p>
    <w:p w:rsidR="006C1C30" w:rsidRDefault="006C1C30">
      <w:pPr>
        <w:pStyle w:val="ConsPlusNormal0"/>
        <w:ind w:firstLine="54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jc w:val="right"/>
        <w:outlineLvl w:val="1"/>
      </w:pPr>
      <w:r>
        <w:t>Приложение N 2</w:t>
      </w:r>
    </w:p>
    <w:p w:rsidR="006C1C30" w:rsidRDefault="001C1372">
      <w:pPr>
        <w:pStyle w:val="ConsPlusNormal0"/>
        <w:jc w:val="right"/>
      </w:pPr>
      <w:r>
        <w:t>к Правилам проведения технического</w:t>
      </w:r>
    </w:p>
    <w:p w:rsidR="006C1C30" w:rsidRDefault="001C1372">
      <w:pPr>
        <w:pStyle w:val="ConsPlusNormal0"/>
        <w:jc w:val="right"/>
      </w:pPr>
      <w:r>
        <w:t>осмотра транспортных средств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Title0"/>
        <w:jc w:val="center"/>
      </w:pPr>
      <w:bookmarkStart w:id="10" w:name="P722"/>
      <w:bookmarkEnd w:id="10"/>
      <w:r>
        <w:t>ПРОДОЛЖИТЕЛЬНОСТЬ</w:t>
      </w:r>
    </w:p>
    <w:p w:rsidR="006C1C30" w:rsidRDefault="001C1372">
      <w:pPr>
        <w:pStyle w:val="ConsPlusTitle0"/>
        <w:jc w:val="center"/>
      </w:pPr>
      <w:r>
        <w:t>ТЕХНИЧЕСКОГО ДИАГНОСТИРОВАНИЯ ТРАНСПОРТНЫХ СРЕДСТВ</w:t>
      </w:r>
    </w:p>
    <w:p w:rsidR="006C1C30" w:rsidRDefault="001C1372">
      <w:pPr>
        <w:pStyle w:val="ConsPlusTitle0"/>
        <w:jc w:val="center"/>
      </w:pPr>
      <w:r>
        <w:t>ОТДЕЛЬНЫХ КАТЕГОРИЙ</w:t>
      </w:r>
    </w:p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819"/>
        <w:gridCol w:w="3175"/>
        <w:gridCol w:w="1474"/>
      </w:tblGrid>
      <w:tr w:rsidR="006C1C30"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>Тип транспортного средства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</w:r>
            <w:hyperlink w:anchor="P863" w:tooltip="&lt;1&gt; Категории транспортных средств соответствуют классификации, установленной в приложении N 1 к техническому регламенту Таможенного союза &quot;О безопасности колесных транспортных средств&quot; (ТР ТС 018/2011)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 xml:space="preserve">Продолжительность технического диагностирования </w:t>
            </w:r>
            <w:hyperlink w:anchor="P864" w:tooltip="&lt;2&gt;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(характеристик диагности">
              <w:r>
                <w:rPr>
                  <w:color w:val="0000FF"/>
                </w:rPr>
                <w:t>&lt;2&gt;</w:t>
              </w:r>
            </w:hyperlink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30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не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59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72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32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63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68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25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Прицепы, технически допустимая максимальная масса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44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10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32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59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68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>
              <w:t>автоэвакуаторы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34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Специальные транспортные средства оперативных служб, </w:t>
            </w:r>
            <w:proofErr w:type="spellStart"/>
            <w:r>
              <w:t>автоэвакуаторы</w:t>
            </w:r>
            <w:proofErr w:type="spellEnd"/>
            <w: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66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Специальные транспортные средства оперативных служб, </w:t>
            </w:r>
            <w:proofErr w:type="spellStart"/>
            <w:r>
              <w:t>автоэвакуаторы</w:t>
            </w:r>
            <w:proofErr w:type="spellEnd"/>
            <w: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71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26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 xml:space="preserve">Специальные транспортные средства оперативных служб, </w:t>
            </w:r>
            <w:proofErr w:type="spellStart"/>
            <w:r>
              <w:t>автоэвакуаторы</w:t>
            </w:r>
            <w:proofErr w:type="spellEnd"/>
            <w: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46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11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37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Специализированные транспортные средства, 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72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78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29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51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35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69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75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28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48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42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82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88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30</w:t>
            </w:r>
          </w:p>
        </w:tc>
      </w:tr>
      <w:tr w:rsidR="006C1C3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  <w:jc w:val="center"/>
            </w:pPr>
            <w:r>
              <w:t>53</w:t>
            </w:r>
          </w:p>
        </w:tc>
      </w:tr>
    </w:tbl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--------------------------------</w:t>
      </w:r>
    </w:p>
    <w:p w:rsidR="006C1C30" w:rsidRDefault="001C1372">
      <w:pPr>
        <w:pStyle w:val="ConsPlusNormal0"/>
        <w:spacing w:before="240"/>
        <w:ind w:firstLine="540"/>
        <w:jc w:val="both"/>
      </w:pPr>
      <w:bookmarkStart w:id="11" w:name="P863"/>
      <w:bookmarkEnd w:id="11"/>
      <w:r>
        <w:t>&lt;1&gt; Категории транспортных средств соответствуют классификации, установленной в приложении N 1 к техническому регламенту Таможенного союза "О безопасности колесных транспортных средств" (ТР ТС 018/2011).</w:t>
      </w:r>
    </w:p>
    <w:p w:rsidR="006C1C30" w:rsidRDefault="001C1372">
      <w:pPr>
        <w:pStyle w:val="ConsPlusNormal0"/>
        <w:spacing w:before="240"/>
        <w:ind w:firstLine="540"/>
        <w:jc w:val="both"/>
      </w:pPr>
      <w:bookmarkStart w:id="12" w:name="P864"/>
      <w:bookmarkEnd w:id="12"/>
      <w:r>
        <w:t>&lt;2&gt;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(характеристик диагностического оборудования и используемого программного обеспечения, количества постов диагностики, количества технических экспертов, проводящих техническое диагностирование нескольких транспортных средств одновременно).</w:t>
      </w: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jc w:val="right"/>
        <w:outlineLvl w:val="1"/>
      </w:pPr>
      <w:r>
        <w:t>Приложение N 3</w:t>
      </w:r>
    </w:p>
    <w:p w:rsidR="006C1C30" w:rsidRDefault="001C1372">
      <w:pPr>
        <w:pStyle w:val="ConsPlusNormal0"/>
        <w:jc w:val="right"/>
      </w:pPr>
      <w:r>
        <w:t>к Правилам проведения технического</w:t>
      </w:r>
    </w:p>
    <w:p w:rsidR="006C1C30" w:rsidRDefault="001C1372">
      <w:pPr>
        <w:pStyle w:val="ConsPlusNormal0"/>
        <w:jc w:val="right"/>
      </w:pPr>
      <w:r>
        <w:t>осмотра транспортных средств</w:t>
      </w:r>
    </w:p>
    <w:p w:rsidR="006C1C30" w:rsidRDefault="006C1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09.03.2022 N 306)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p w:rsidR="006C1C30" w:rsidRPr="001449F4" w:rsidRDefault="001C1372">
      <w:pPr>
        <w:pStyle w:val="ConsPlusNormal0"/>
        <w:jc w:val="right"/>
        <w:rPr>
          <w:lang w:val="en-US"/>
        </w:rPr>
      </w:pPr>
      <w:r w:rsidRPr="001449F4">
        <w:rPr>
          <w:lang w:val="en-US"/>
        </w:rPr>
        <w:t>(</w:t>
      </w:r>
      <w:r>
        <w:t>форма</w:t>
      </w:r>
      <w:r w:rsidRPr="001449F4">
        <w:rPr>
          <w:lang w:val="en-US"/>
        </w:rPr>
        <w:t>)</w:t>
      </w:r>
    </w:p>
    <w:p w:rsidR="006C1C30" w:rsidRPr="001449F4" w:rsidRDefault="006C1C30">
      <w:pPr>
        <w:pStyle w:val="ConsPlusNormal0"/>
        <w:jc w:val="both"/>
        <w:rPr>
          <w:lang w:val="en-US"/>
        </w:rPr>
      </w:pPr>
    </w:p>
    <w:p w:rsidR="006C1C30" w:rsidRPr="001449F4" w:rsidRDefault="001C1372">
      <w:pPr>
        <w:pStyle w:val="ConsPlusNormal0"/>
        <w:jc w:val="center"/>
        <w:rPr>
          <w:lang w:val="en-US"/>
        </w:rPr>
      </w:pPr>
      <w:bookmarkStart w:id="13" w:name="P878"/>
      <w:bookmarkEnd w:id="13"/>
      <w:r>
        <w:t>ДИАГНОСТИЧЕСКАЯ</w:t>
      </w:r>
      <w:r w:rsidRPr="001449F4">
        <w:rPr>
          <w:lang w:val="en-US"/>
        </w:rPr>
        <w:t xml:space="preserve"> </w:t>
      </w:r>
      <w:r>
        <w:t>КАРТА</w:t>
      </w:r>
    </w:p>
    <w:p w:rsidR="006C1C30" w:rsidRPr="001449F4" w:rsidRDefault="006C1C30">
      <w:pPr>
        <w:pStyle w:val="ConsPlusNormal0"/>
        <w:jc w:val="both"/>
        <w:rPr>
          <w:lang w:val="en-US"/>
        </w:rPr>
      </w:pPr>
    </w:p>
    <w:p w:rsidR="006C1C30" w:rsidRPr="001449F4" w:rsidRDefault="001C1372">
      <w:pPr>
        <w:pStyle w:val="ConsPlusNormal0"/>
        <w:jc w:val="center"/>
        <w:rPr>
          <w:lang w:val="en-US"/>
        </w:rPr>
      </w:pPr>
      <w:r w:rsidRPr="001449F4">
        <w:rPr>
          <w:lang w:val="en-US"/>
        </w:rPr>
        <w:t>Certificate of periodic technical inspection</w:t>
      </w:r>
    </w:p>
    <w:p w:rsidR="006C1C30" w:rsidRPr="001449F4" w:rsidRDefault="006C1C30">
      <w:pPr>
        <w:pStyle w:val="ConsPlusNormal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C1C30">
        <w:tc>
          <w:tcPr>
            <w:tcW w:w="5780" w:type="dxa"/>
            <w:gridSpan w:val="17"/>
            <w:tcBorders>
              <w:bottom w:val="nil"/>
            </w:tcBorders>
          </w:tcPr>
          <w:p w:rsidR="006C1C30" w:rsidRDefault="001C1372">
            <w:pPr>
              <w:pStyle w:val="ConsPlusNormal0"/>
              <w:jc w:val="both"/>
            </w:pPr>
            <w:r>
              <w:t>Регистрационный номер</w:t>
            </w:r>
          </w:p>
        </w:tc>
        <w:tc>
          <w:tcPr>
            <w:tcW w:w="3400" w:type="dxa"/>
            <w:gridSpan w:val="10"/>
            <w:tcBorders>
              <w:bottom w:val="nil"/>
            </w:tcBorders>
          </w:tcPr>
          <w:p w:rsidR="006C1C30" w:rsidRDefault="001C1372">
            <w:pPr>
              <w:pStyle w:val="ConsPlusNormal0"/>
              <w:jc w:val="both"/>
            </w:pPr>
            <w:r>
              <w:t>Срок действия до</w:t>
            </w:r>
          </w:p>
        </w:tc>
      </w:tr>
      <w:tr w:rsidR="006C1C30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780" w:type="dxa"/>
            <w:gridSpan w:val="17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2551"/>
        <w:gridCol w:w="3118"/>
        <w:gridCol w:w="340"/>
      </w:tblGrid>
      <w:tr w:rsidR="006C1C30">
        <w:tc>
          <w:tcPr>
            <w:tcW w:w="9070" w:type="dxa"/>
            <w:gridSpan w:val="6"/>
          </w:tcPr>
          <w:p w:rsidR="006C1C30" w:rsidRDefault="001C1372">
            <w:pPr>
              <w:pStyle w:val="ConsPlusNormal0"/>
              <w:jc w:val="both"/>
            </w:pPr>
            <w:r>
              <w:t>Оператор технического осмотра:</w:t>
            </w:r>
          </w:p>
        </w:tc>
      </w:tr>
      <w:tr w:rsidR="006C1C30">
        <w:tc>
          <w:tcPr>
            <w:tcW w:w="9070" w:type="dxa"/>
            <w:gridSpan w:val="6"/>
          </w:tcPr>
          <w:p w:rsidR="006C1C30" w:rsidRDefault="001C1372">
            <w:pPr>
              <w:pStyle w:val="ConsPlusNormal0"/>
              <w:jc w:val="both"/>
            </w:pPr>
            <w:r>
              <w:t>Пункт технического осмотра (передвижная диагностическая линия):</w:t>
            </w:r>
          </w:p>
        </w:tc>
      </w:tr>
      <w:tr w:rsidR="006C1C30">
        <w:tc>
          <w:tcPr>
            <w:tcW w:w="2721" w:type="dxa"/>
            <w:gridSpan w:val="2"/>
          </w:tcPr>
          <w:p w:rsidR="006C1C30" w:rsidRDefault="001C1372">
            <w:pPr>
              <w:pStyle w:val="ConsPlusNormal0"/>
              <w:jc w:val="both"/>
            </w:pPr>
            <w:r>
              <w:t>Первичная проверка</w:t>
            </w: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2551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118" w:type="dxa"/>
          </w:tcPr>
          <w:p w:rsidR="006C1C30" w:rsidRDefault="001C1372">
            <w:pPr>
              <w:pStyle w:val="ConsPlusNormal0"/>
              <w:jc w:val="both"/>
            </w:pPr>
            <w:r>
              <w:t>Повторная проверка</w:t>
            </w: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12" w:type="dxa"/>
            <w:gridSpan w:val="4"/>
          </w:tcPr>
          <w:p w:rsidR="006C1C30" w:rsidRDefault="001C1372">
            <w:pPr>
              <w:pStyle w:val="ConsPlusNormal0"/>
              <w:jc w:val="both"/>
            </w:pPr>
            <w:r>
              <w:t>Регистрационный номер ТС:</w:t>
            </w:r>
          </w:p>
        </w:tc>
        <w:tc>
          <w:tcPr>
            <w:tcW w:w="3458" w:type="dxa"/>
            <w:gridSpan w:val="2"/>
          </w:tcPr>
          <w:p w:rsidR="006C1C30" w:rsidRDefault="001C1372">
            <w:pPr>
              <w:pStyle w:val="ConsPlusNormal0"/>
              <w:jc w:val="both"/>
            </w:pPr>
            <w:r>
              <w:t>Марка, модель ТС:</w:t>
            </w:r>
          </w:p>
        </w:tc>
      </w:tr>
      <w:tr w:rsidR="006C1C30">
        <w:tc>
          <w:tcPr>
            <w:tcW w:w="1814" w:type="dxa"/>
          </w:tcPr>
          <w:p w:rsidR="006C1C30" w:rsidRDefault="001C1372">
            <w:pPr>
              <w:pStyle w:val="ConsPlusNormal0"/>
              <w:jc w:val="both"/>
            </w:pPr>
            <w:r>
              <w:t>VIN</w:t>
            </w:r>
          </w:p>
        </w:tc>
        <w:tc>
          <w:tcPr>
            <w:tcW w:w="3798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3458" w:type="dxa"/>
            <w:gridSpan w:val="2"/>
          </w:tcPr>
          <w:p w:rsidR="006C1C30" w:rsidRDefault="001C1372">
            <w:pPr>
              <w:pStyle w:val="ConsPlusNormal0"/>
              <w:jc w:val="both"/>
            </w:pPr>
            <w:r>
              <w:t>Категория ТС:</w:t>
            </w:r>
          </w:p>
        </w:tc>
      </w:tr>
      <w:tr w:rsidR="006C1C30">
        <w:tc>
          <w:tcPr>
            <w:tcW w:w="1814" w:type="dxa"/>
          </w:tcPr>
          <w:p w:rsidR="006C1C30" w:rsidRDefault="001C1372">
            <w:pPr>
              <w:pStyle w:val="ConsPlusNormal0"/>
              <w:jc w:val="both"/>
            </w:pPr>
            <w:r>
              <w:t>Номер рамы</w:t>
            </w:r>
          </w:p>
        </w:tc>
        <w:tc>
          <w:tcPr>
            <w:tcW w:w="3798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3458" w:type="dxa"/>
            <w:gridSpan w:val="2"/>
            <w:tcBorders>
              <w:bottom w:val="nil"/>
            </w:tcBorders>
          </w:tcPr>
          <w:p w:rsidR="006C1C30" w:rsidRDefault="001C1372">
            <w:pPr>
              <w:pStyle w:val="ConsPlusNormal0"/>
              <w:jc w:val="both"/>
            </w:pPr>
            <w:r>
              <w:t>Год выпуска ТС:</w:t>
            </w:r>
          </w:p>
        </w:tc>
      </w:tr>
      <w:tr w:rsidR="006C1C30">
        <w:tc>
          <w:tcPr>
            <w:tcW w:w="1814" w:type="dxa"/>
          </w:tcPr>
          <w:p w:rsidR="006C1C30" w:rsidRDefault="001C1372">
            <w:pPr>
              <w:pStyle w:val="ConsPlusNormal0"/>
              <w:jc w:val="both"/>
            </w:pPr>
            <w:r>
              <w:t>Номер кузова</w:t>
            </w:r>
          </w:p>
        </w:tc>
        <w:tc>
          <w:tcPr>
            <w:tcW w:w="3798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3458" w:type="dxa"/>
            <w:gridSpan w:val="2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bottom w:val="nil"/>
            </w:tcBorders>
          </w:tcPr>
          <w:p w:rsidR="006C1C30" w:rsidRDefault="001C1372">
            <w:pPr>
              <w:pStyle w:val="ConsPlusNormal0"/>
              <w:jc w:val="both"/>
            </w:pPr>
            <w:r>
              <w:t>СРТС или ПТС (ЭПТС) (серия, номер, выдан (оформлен) кем, когда):</w:t>
            </w:r>
          </w:p>
        </w:tc>
      </w:tr>
      <w:tr w:rsidR="006C1C30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bottom w:val="nil"/>
            </w:tcBorders>
          </w:tcPr>
          <w:p w:rsidR="006C1C30" w:rsidRDefault="001C1372">
            <w:pPr>
              <w:pStyle w:val="ConsPlusNormal0"/>
              <w:jc w:val="both"/>
            </w:pPr>
            <w:proofErr w:type="spellStart"/>
            <w:r>
              <w:t>Тахограф</w:t>
            </w:r>
            <w:proofErr w:type="spellEnd"/>
            <w:r>
              <w:t xml:space="preserve"> или контрольное устройство (</w:t>
            </w:r>
            <w:proofErr w:type="spellStart"/>
            <w:r>
              <w:t>тахограф</w:t>
            </w:r>
            <w:proofErr w:type="spellEnd"/>
            <w:r>
              <w:t>) (марка, модель, серийный номер):</w:t>
            </w:r>
          </w:p>
        </w:tc>
      </w:tr>
      <w:tr w:rsidR="006C1C30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340"/>
        <w:gridCol w:w="567"/>
        <w:gridCol w:w="2211"/>
        <w:gridCol w:w="340"/>
        <w:gridCol w:w="567"/>
        <w:gridCol w:w="2154"/>
        <w:gridCol w:w="340"/>
      </w:tblGrid>
      <w:tr w:rsidR="006C1C30"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154" w:type="dxa"/>
          </w:tcPr>
          <w:p w:rsidR="006C1C30" w:rsidRDefault="001C1372">
            <w:pPr>
              <w:pStyle w:val="ConsPlusNormal0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891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I. Тормозные системы</w:t>
            </w:r>
          </w:p>
        </w:tc>
        <w:tc>
          <w:tcPr>
            <w:tcW w:w="3118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154" w:type="dxa"/>
            <w:vMerge w:val="restart"/>
          </w:tcPr>
          <w:p w:rsidR="006C1C30" w:rsidRDefault="001C1372">
            <w:pPr>
              <w:pStyle w:val="ConsPlusNormal0"/>
            </w:pPr>
            <w:r>
              <w:t>Работоспособность автоматического замка, ручной и автоматической блокировки седельно-сцепного устройства. Отсутствие видимых повреждений сцепных устройств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rPr>
          <w:trHeight w:val="276"/>
        </w:trPr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</w:tcPr>
          <w:p w:rsidR="006C1C30" w:rsidRDefault="001C1372">
            <w:pPr>
              <w:pStyle w:val="ConsPlusNormal0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211" w:type="dxa"/>
            <w:vMerge w:val="restart"/>
          </w:tcPr>
          <w:p w:rsidR="006C1C30" w:rsidRDefault="001C1372">
            <w:pPr>
              <w:pStyle w:val="ConsPlusNormal0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rPr>
          <w:trHeight w:val="276"/>
        </w:trPr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198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211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154" w:type="dxa"/>
            <w:vMerge w:val="restart"/>
          </w:tcPr>
          <w:p w:rsidR="006C1C30" w:rsidRDefault="001C1372">
            <w:pPr>
              <w:pStyle w:val="ConsPlusNormal0"/>
            </w:pPr>
            <w:r>
              <w:t>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118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V. Шины и колеса</w:t>
            </w: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rPr>
          <w:trHeight w:val="276"/>
        </w:trPr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</w:tcPr>
          <w:p w:rsidR="006C1C30" w:rsidRDefault="001C1372">
            <w:pPr>
              <w:pStyle w:val="ConsPlusNormal0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211" w:type="dxa"/>
            <w:vMerge w:val="restart"/>
          </w:tcPr>
          <w:p w:rsidR="006C1C30" w:rsidRDefault="001C1372">
            <w:pPr>
              <w:pStyle w:val="ConsPlusNormal0"/>
            </w:pPr>
            <w:r>
              <w:t>Соответствие высоты рисунка протектора шин установленным требованиям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rPr>
          <w:trHeight w:val="276"/>
        </w:trPr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198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211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154" w:type="dxa"/>
            <w:vMerge w:val="restart"/>
          </w:tcPr>
          <w:p w:rsidR="006C1C30" w:rsidRDefault="001C1372">
            <w:pPr>
              <w:pStyle w:val="ConsPlusNormal0"/>
            </w:pPr>
            <w:r>
              <w:t>Оборудование прицепов (за исключением одноосных и роспусков) исправным устройством, поддерживающим сцепную петлю дышла в положении, облегчающем сцепку и расцепку с тяговым автомобилем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198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 xml:space="preserve">Отсутствие </w:t>
            </w:r>
            <w:proofErr w:type="spellStart"/>
            <w:r>
              <w:t>подтеканий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Отсутствие трещин на дисках и ободьях колес, а также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154" w:type="dxa"/>
          </w:tcPr>
          <w:p w:rsidR="006C1C30" w:rsidRDefault="001C1372">
            <w:pPr>
              <w:pStyle w:val="ConsPlusNormal0"/>
            </w:pPr>
            <w:r>
              <w:t xml:space="preserve">Отсутствие продольного люфта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Отсутствие трещин или остаточной деформации деталей тормозного привода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Установка шин на транспортное средство в соответствии с требованиями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154" w:type="dxa"/>
          </w:tcPr>
          <w:p w:rsidR="006C1C30" w:rsidRDefault="001C1372">
            <w:pPr>
              <w:pStyle w:val="ConsPlusNormal0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  <w:vMerge w:val="restart"/>
          </w:tcPr>
          <w:p w:rsidR="006C1C30" w:rsidRDefault="001C1372">
            <w:pPr>
              <w:pStyle w:val="ConsPlusNormal0"/>
            </w:pPr>
            <w:r>
              <w:t>Исправность средств сигнализации и контроля тормозных систем. Работоспособность устройства фиксации органа управления стояночной тормозной системы, манометров пневматического и пневмогидравлического тормозного привода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3118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VI. Двигатель и его системы</w:t>
            </w: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154" w:type="dxa"/>
            <w:vMerge w:val="restart"/>
          </w:tcPr>
          <w:p w:rsidR="006C1C30" w:rsidRDefault="001C1372">
            <w:pPr>
              <w:pStyle w:val="ConsPlusNormal0"/>
            </w:pPr>
            <w:r>
              <w:t>Надежное крепление поручней, запасного колеса, аккумуляторной батареи, сидений, огнетушителей и медицинской аптечки в автобусах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rPr>
          <w:trHeight w:val="276"/>
        </w:trPr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198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211" w:type="dxa"/>
            <w:vMerge w:val="restart"/>
          </w:tcPr>
          <w:p w:rsidR="006C1C30" w:rsidRDefault="001C1372">
            <w:pPr>
              <w:pStyle w:val="ConsPlusNormal0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198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211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154" w:type="dxa"/>
          </w:tcPr>
          <w:p w:rsidR="006C1C30" w:rsidRDefault="001C1372">
            <w:pPr>
              <w:pStyle w:val="ConsPlusNormal0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211" w:type="dxa"/>
            <w:vMerge w:val="restart"/>
          </w:tcPr>
          <w:p w:rsidR="006C1C30" w:rsidRDefault="001C1372">
            <w:pPr>
              <w:pStyle w:val="ConsPlusNormal0"/>
            </w:pPr>
            <w:r>
              <w:t xml:space="preserve">Отсутствие </w:t>
            </w:r>
            <w:proofErr w:type="spellStart"/>
            <w:r>
              <w:t>подтекания</w:t>
            </w:r>
            <w:proofErr w:type="spellEnd"/>
            <w:r>
              <w:t xml:space="preserve"> и каплепадения топлива в системе питания, а также подсоса воздуха и (или) утечки отработавших газов, минуя систему выпуска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154" w:type="dxa"/>
          </w:tcPr>
          <w:p w:rsidR="006C1C30" w:rsidRDefault="001C1372">
            <w:pPr>
              <w:pStyle w:val="ConsPlusNormal0"/>
            </w:pPr>
            <w:r>
              <w:t xml:space="preserve">Наличие </w:t>
            </w:r>
            <w:proofErr w:type="spellStart"/>
            <w:r>
              <w:t>надколесных</w:t>
            </w:r>
            <w:proofErr w:type="spellEnd"/>
            <w:r>
              <w:t xml:space="preserve"> грязезащитных устройств, отвечающих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rPr>
          <w:trHeight w:val="276"/>
        </w:trPr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  <w:vMerge w:val="restart"/>
          </w:tcPr>
          <w:p w:rsidR="006C1C30" w:rsidRDefault="001C1372">
            <w:pPr>
              <w:pStyle w:val="ConsPlusNormal0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211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154" w:type="dxa"/>
            <w:vMerge w:val="restart"/>
          </w:tcPr>
          <w:p w:rsidR="006C1C30" w:rsidRDefault="001C1372">
            <w:pPr>
              <w:pStyle w:val="ConsPlusNormal0"/>
            </w:pPr>
            <w:r>
              <w:t>Соответствие вертикальной статической нагрузки на тяговое устройство автомобиля от сцепной петли одноосного прицепа (прицепа-роспуска) нормам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198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891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II. Рулевое управление</w:t>
            </w: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154" w:type="dxa"/>
          </w:tcPr>
          <w:p w:rsidR="006C1C30" w:rsidRDefault="001C1372">
            <w:pPr>
              <w:pStyle w:val="ConsPlusNormal0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118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VII. Прочие элементы конструкции</w:t>
            </w: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154" w:type="dxa"/>
          </w:tcPr>
          <w:p w:rsidR="006C1C30" w:rsidRDefault="001C1372">
            <w:pPr>
              <w:pStyle w:val="ConsPlusNormal0"/>
            </w:pPr>
            <w:r>
              <w:t>Работоспособность механизмов подъема и опускания опор и фиксаторов транспортного положения опор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84" w:type="dxa"/>
            <w:vMerge w:val="restart"/>
          </w:tcPr>
          <w:p w:rsidR="006C1C30" w:rsidRDefault="001C1372">
            <w:pPr>
              <w:pStyle w:val="ConsPlusNormal0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Наличие зеркал заднего вида в соответствии с требованиями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154" w:type="dxa"/>
          </w:tcPr>
          <w:p w:rsidR="006C1C30" w:rsidRDefault="001C1372">
            <w:pPr>
              <w:pStyle w:val="ConsPlusNormal0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rPr>
          <w:trHeight w:val="276"/>
        </w:trPr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198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211" w:type="dxa"/>
            <w:vMerge w:val="restart"/>
          </w:tcPr>
          <w:p w:rsidR="006C1C30" w:rsidRDefault="001C1372">
            <w:pPr>
              <w:pStyle w:val="ConsPlusNormal0"/>
            </w:pPr>
            <w:r>
              <w:t>Соответствие нормам светопропускания ветрового стекла и стекол, через которые обеспечивается передняя обзорность для водителя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154" w:type="dxa"/>
            <w:vMerge w:val="restart"/>
          </w:tcPr>
          <w:p w:rsidR="006C1C30" w:rsidRDefault="001C1372">
            <w:pPr>
              <w:pStyle w:val="ConsPlusNormal0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211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211" w:type="dxa"/>
            <w:vMerge w:val="restart"/>
          </w:tcPr>
          <w:p w:rsidR="006C1C30" w:rsidRDefault="001C1372">
            <w:pPr>
              <w:pStyle w:val="ConsPlusNormal0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154" w:type="dxa"/>
            <w:vMerge w:val="restart"/>
          </w:tcPr>
          <w:p w:rsidR="006C1C30" w:rsidRDefault="001C1372">
            <w:pPr>
              <w:pStyle w:val="ConsPlusNormal0"/>
            </w:pPr>
            <w:r>
              <w:t>Соответствие транспортных средств категорий M2 и M3 установленным дополнительным требованиям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rPr>
          <w:trHeight w:val="276"/>
        </w:trPr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  <w:vMerge w:val="restart"/>
          </w:tcPr>
          <w:p w:rsidR="006C1C30" w:rsidRDefault="001C1372">
            <w:pPr>
              <w:pStyle w:val="ConsPlusNormal0"/>
            </w:pPr>
            <w:r>
              <w:t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211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198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154" w:type="dxa"/>
          </w:tcPr>
          <w:p w:rsidR="006C1C30" w:rsidRDefault="001C1372">
            <w:pPr>
              <w:pStyle w:val="ConsPlusNormal0"/>
            </w:pPr>
            <w:r>
              <w:t>Соответствие специальных и специализированных транспортных средств дополнительным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198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211" w:type="dxa"/>
            <w:vMerge w:val="restart"/>
          </w:tcPr>
          <w:p w:rsidR="006C1C30" w:rsidRDefault="001C1372">
            <w:pPr>
              <w:pStyle w:val="ConsPlusNormal0"/>
            </w:pPr>
            <w:r>
              <w:t>Работоспособность запоров бортов грузовой платформы и запоров горловин цистерн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154" w:type="dxa"/>
          </w:tcPr>
          <w:p w:rsidR="006C1C30" w:rsidRDefault="001C1372">
            <w:pPr>
              <w:pStyle w:val="ConsPlusNormal0"/>
            </w:pPr>
            <w:r>
              <w:t xml:space="preserve">Наличие работоспособного </w:t>
            </w:r>
            <w:proofErr w:type="spellStart"/>
            <w:r>
              <w:t>тахографа</w:t>
            </w:r>
            <w:proofErr w:type="spellEnd"/>
            <w:r>
              <w:t xml:space="preserve"> или работоспособного контрольного устройства (</w:t>
            </w:r>
            <w:proofErr w:type="spellStart"/>
            <w:r>
              <w:t>тахографа</w:t>
            </w:r>
            <w:proofErr w:type="spellEnd"/>
            <w:r>
              <w:t>)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Отсутствие не предусмотренных конструкцией устройств, ограничивающих поворот рулевого колеса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211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2891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III. Внешние световые приборы</w:t>
            </w: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Работоспособность аварийного выключателя дверей, аварийных выходов и устройств приведения их в действие. 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211" w:type="dxa"/>
            <w:vMerge w:val="restart"/>
          </w:tcPr>
          <w:p w:rsidR="006C1C30" w:rsidRDefault="001C1372">
            <w:pPr>
              <w:pStyle w:val="ConsPlusNormal0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211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2211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6C1C30" w:rsidRDefault="001C1372">
            <w:pPr>
              <w:pStyle w:val="ConsPlusNormal0"/>
            </w:pPr>
            <w:r>
              <w:t>Наличие и расположение внешних световых приборов в местах, предусмотренных конструкцией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567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84" w:type="dxa"/>
            <w:vMerge w:val="restart"/>
          </w:tcPr>
          <w:p w:rsidR="006C1C30" w:rsidRDefault="001C1372">
            <w:pPr>
              <w:pStyle w:val="ConsPlusNormal0"/>
            </w:pPr>
            <w:r>
              <w:t>Соответствие источника света в фарах, формы, цвета и размера фар и их расположения. Наличие светоотражающей контурной маркировки, отсутствие ее повреждения и отслоения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</w:tcPr>
          <w:p w:rsidR="006C1C30" w:rsidRDefault="001C1372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6C1C30" w:rsidRDefault="001C1372">
            <w:pPr>
              <w:pStyle w:val="ConsPlusNormal0"/>
            </w:pPr>
            <w:r>
              <w:t>Наличие задних и боковых защитных устройств, соответствие их нормам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  <w:insideH w:val="nil"/>
          </w:tblBorders>
        </w:tblPrEx>
        <w:tc>
          <w:tcPr>
            <w:tcW w:w="567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1984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118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971"/>
        <w:gridCol w:w="340"/>
        <w:gridCol w:w="1077"/>
        <w:gridCol w:w="3855"/>
        <w:gridCol w:w="1568"/>
      </w:tblGrid>
      <w:tr w:rsidR="006C1C30">
        <w:tc>
          <w:tcPr>
            <w:tcW w:w="9058" w:type="dxa"/>
            <w:gridSpan w:val="6"/>
          </w:tcPr>
          <w:p w:rsidR="006C1C30" w:rsidRDefault="001C1372">
            <w:pPr>
              <w:pStyle w:val="ConsPlusNormal0"/>
              <w:jc w:val="center"/>
              <w:outlineLvl w:val="2"/>
            </w:pPr>
            <w:r>
              <w:t>Результаты диагностирования</w:t>
            </w:r>
          </w:p>
        </w:tc>
      </w:tr>
      <w:tr w:rsidR="006C1C30">
        <w:tc>
          <w:tcPr>
            <w:tcW w:w="7490" w:type="dxa"/>
            <w:gridSpan w:val="5"/>
          </w:tcPr>
          <w:p w:rsidR="006C1C30" w:rsidRDefault="001C1372">
            <w:pPr>
              <w:pStyle w:val="ConsPlusNormal0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1568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Пункт диагностической карты</w:t>
            </w:r>
          </w:p>
        </w:tc>
      </w:tr>
      <w:tr w:rsidR="006C1C30">
        <w:tc>
          <w:tcPr>
            <w:tcW w:w="1247" w:type="dxa"/>
          </w:tcPr>
          <w:p w:rsidR="006C1C30" w:rsidRDefault="001C1372">
            <w:pPr>
              <w:pStyle w:val="ConsPlusNormal0"/>
              <w:jc w:val="center"/>
            </w:pPr>
            <w:r>
              <w:t>Нижняя граница</w:t>
            </w:r>
          </w:p>
        </w:tc>
        <w:tc>
          <w:tcPr>
            <w:tcW w:w="1311" w:type="dxa"/>
            <w:gridSpan w:val="2"/>
          </w:tcPr>
          <w:p w:rsidR="006C1C30" w:rsidRDefault="001C1372">
            <w:pPr>
              <w:pStyle w:val="ConsPlusNormal0"/>
              <w:jc w:val="center"/>
            </w:pPr>
            <w:r>
              <w:t>Результат проверки</w:t>
            </w:r>
          </w:p>
        </w:tc>
        <w:tc>
          <w:tcPr>
            <w:tcW w:w="1077" w:type="dxa"/>
          </w:tcPr>
          <w:p w:rsidR="006C1C30" w:rsidRDefault="001C1372">
            <w:pPr>
              <w:pStyle w:val="ConsPlusNormal0"/>
              <w:jc w:val="center"/>
            </w:pPr>
            <w:r>
              <w:t>Верхняя граница</w:t>
            </w:r>
          </w:p>
        </w:tc>
        <w:tc>
          <w:tcPr>
            <w:tcW w:w="3855" w:type="dxa"/>
          </w:tcPr>
          <w:p w:rsidR="006C1C30" w:rsidRDefault="001C1372">
            <w:pPr>
              <w:pStyle w:val="ConsPlusNormal0"/>
              <w:jc w:val="center"/>
            </w:pPr>
            <w:r>
              <w:t>Наименование требования</w:t>
            </w:r>
          </w:p>
        </w:tc>
        <w:tc>
          <w:tcPr>
            <w:tcW w:w="1568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24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1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107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85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24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1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107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85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24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1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107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85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24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1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107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85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24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1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107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85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24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1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107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85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24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1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1077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85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7490" w:type="dxa"/>
            <w:gridSpan w:val="5"/>
          </w:tcPr>
          <w:p w:rsidR="006C1C30" w:rsidRDefault="001C1372">
            <w:pPr>
              <w:pStyle w:val="ConsPlusNormal0"/>
              <w:jc w:val="center"/>
            </w:pPr>
            <w:r>
              <w:t>Невыполненные требования</w:t>
            </w:r>
          </w:p>
        </w:tc>
        <w:tc>
          <w:tcPr>
            <w:tcW w:w="1568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218" w:type="dxa"/>
            <w:gridSpan w:val="2"/>
          </w:tcPr>
          <w:p w:rsidR="006C1C30" w:rsidRDefault="001C1372">
            <w:pPr>
              <w:pStyle w:val="ConsPlusNormal0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5272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1568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218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5272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218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5272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218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5272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218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5272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218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5272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218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5272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218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5272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1568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9058" w:type="dxa"/>
            <w:gridSpan w:val="6"/>
          </w:tcPr>
          <w:p w:rsidR="006C1C30" w:rsidRDefault="001C1372">
            <w:pPr>
              <w:pStyle w:val="ConsPlusNormal0"/>
              <w:jc w:val="both"/>
            </w:pPr>
            <w:r>
              <w:t>Примечания:</w:t>
            </w:r>
          </w:p>
        </w:tc>
      </w:tr>
      <w:tr w:rsidR="006C1C30">
        <w:tc>
          <w:tcPr>
            <w:tcW w:w="9058" w:type="dxa"/>
            <w:gridSpan w:val="6"/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134"/>
        <w:gridCol w:w="340"/>
        <w:gridCol w:w="1757"/>
        <w:gridCol w:w="1757"/>
      </w:tblGrid>
      <w:tr w:rsidR="006C1C30">
        <w:tc>
          <w:tcPr>
            <w:tcW w:w="90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  <w:outlineLvl w:val="2"/>
            </w:pPr>
            <w:r>
              <w:t>Данные транспортного средства</w:t>
            </w:r>
          </w:p>
        </w:tc>
      </w:tr>
      <w:tr w:rsidR="006C1C30">
        <w:tblPrEx>
          <w:tblBorders>
            <w:insideV w:val="single" w:sz="4" w:space="0" w:color="auto"/>
          </w:tblBorders>
        </w:tblPrEx>
        <w:tc>
          <w:tcPr>
            <w:tcW w:w="4082" w:type="dxa"/>
          </w:tcPr>
          <w:p w:rsidR="006C1C30" w:rsidRDefault="001C1372">
            <w:pPr>
              <w:pStyle w:val="ConsPlusNormal0"/>
              <w:jc w:val="both"/>
            </w:pPr>
            <w:r>
              <w:t>Масса без нагрузки:</w:t>
            </w:r>
          </w:p>
        </w:tc>
        <w:tc>
          <w:tcPr>
            <w:tcW w:w="4988" w:type="dxa"/>
            <w:gridSpan w:val="4"/>
            <w:vAlign w:val="bottom"/>
          </w:tcPr>
          <w:p w:rsidR="006C1C30" w:rsidRDefault="001C1372">
            <w:pPr>
              <w:pStyle w:val="ConsPlusNormal0"/>
              <w:jc w:val="both"/>
            </w:pPr>
            <w:r>
              <w:t>Разрешенная максимальная масса:</w:t>
            </w:r>
          </w:p>
        </w:tc>
      </w:tr>
      <w:tr w:rsidR="006C1C30">
        <w:tblPrEx>
          <w:tblBorders>
            <w:insideV w:val="single" w:sz="4" w:space="0" w:color="auto"/>
          </w:tblBorders>
        </w:tblPrEx>
        <w:tc>
          <w:tcPr>
            <w:tcW w:w="4082" w:type="dxa"/>
          </w:tcPr>
          <w:p w:rsidR="006C1C30" w:rsidRDefault="001C1372">
            <w:pPr>
              <w:pStyle w:val="ConsPlusNormal0"/>
              <w:jc w:val="both"/>
            </w:pPr>
            <w:r>
              <w:t>Тип топлива:</w:t>
            </w:r>
          </w:p>
        </w:tc>
        <w:tc>
          <w:tcPr>
            <w:tcW w:w="4988" w:type="dxa"/>
            <w:gridSpan w:val="4"/>
          </w:tcPr>
          <w:p w:rsidR="006C1C30" w:rsidRDefault="001C1372">
            <w:pPr>
              <w:pStyle w:val="ConsPlusNormal0"/>
              <w:jc w:val="both"/>
            </w:pPr>
            <w:r>
              <w:t>Пробег ТС:</w:t>
            </w:r>
          </w:p>
        </w:tc>
      </w:tr>
      <w:tr w:rsidR="006C1C30">
        <w:tblPrEx>
          <w:tblBorders>
            <w:insideV w:val="single" w:sz="4" w:space="0" w:color="auto"/>
          </w:tblBorders>
        </w:tblPrEx>
        <w:tc>
          <w:tcPr>
            <w:tcW w:w="4082" w:type="dxa"/>
          </w:tcPr>
          <w:p w:rsidR="006C1C30" w:rsidRDefault="001C1372">
            <w:pPr>
              <w:pStyle w:val="ConsPlusNormal0"/>
              <w:jc w:val="both"/>
            </w:pPr>
            <w:r>
              <w:t>Тип тормозной системы:</w:t>
            </w:r>
          </w:p>
        </w:tc>
        <w:tc>
          <w:tcPr>
            <w:tcW w:w="4988" w:type="dxa"/>
            <w:gridSpan w:val="4"/>
          </w:tcPr>
          <w:p w:rsidR="006C1C30" w:rsidRDefault="001C1372">
            <w:pPr>
              <w:pStyle w:val="ConsPlusNormal0"/>
              <w:jc w:val="both"/>
            </w:pPr>
            <w:r>
              <w:t>Марка шин:</w:t>
            </w:r>
          </w:p>
        </w:tc>
      </w:tr>
      <w:tr w:rsidR="006C1C30">
        <w:tblPrEx>
          <w:tblBorders>
            <w:insideH w:val="nil"/>
            <w:insideV w:val="single" w:sz="4" w:space="0" w:color="auto"/>
          </w:tblBorders>
        </w:tblPrEx>
        <w:tc>
          <w:tcPr>
            <w:tcW w:w="4082" w:type="dxa"/>
            <w:tcBorders>
              <w:bottom w:val="nil"/>
            </w:tcBorders>
            <w:vAlign w:val="bottom"/>
          </w:tcPr>
          <w:p w:rsidR="006C1C30" w:rsidRDefault="001C1372">
            <w:pPr>
              <w:pStyle w:val="ConsPlusNormal0"/>
            </w:pPr>
            <w:r>
              <w:t>Сведения о газовом баллоне (газовых баллонах) 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4988" w:type="dxa"/>
            <w:gridSpan w:val="4"/>
            <w:tcBorders>
              <w:bottom w:val="nil"/>
            </w:tcBorders>
            <w:vAlign w:val="bottom"/>
          </w:tcPr>
          <w:p w:rsidR="006C1C30" w:rsidRDefault="001C1372">
            <w:pPr>
              <w:pStyle w:val="ConsPlusNormal0"/>
            </w:pPr>
            <w:r>
              <w:t>Сведения по газобаллонному оборудованию 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6C1C30">
        <w:tblPrEx>
          <w:tblBorders>
            <w:insideH w:val="nil"/>
            <w:insideV w:val="single" w:sz="4" w:space="0" w:color="auto"/>
          </w:tblBorders>
        </w:tblPrEx>
        <w:tc>
          <w:tcPr>
            <w:tcW w:w="4082" w:type="dxa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4988" w:type="dxa"/>
            <w:gridSpan w:val="4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5216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6C1C30" w:rsidRDefault="001C1372">
            <w:pPr>
              <w:pStyle w:val="ConsPlusNormal0"/>
            </w:pPr>
            <w:r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1757" w:type="dxa"/>
            <w:tcBorders>
              <w:left w:val="nil"/>
              <w:right w:val="nil"/>
            </w:tcBorders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1757" w:type="dxa"/>
            <w:tcBorders>
              <w:left w:val="nil"/>
              <w:right w:val="single" w:sz="4" w:space="0" w:color="auto"/>
            </w:tcBorders>
            <w:vAlign w:val="center"/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insideV w:val="single" w:sz="4" w:space="0" w:color="auto"/>
          </w:tblBorders>
        </w:tblPrEx>
        <w:tc>
          <w:tcPr>
            <w:tcW w:w="5216" w:type="dxa"/>
            <w:gridSpan w:val="2"/>
            <w:vMerge/>
            <w:tcBorders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6C1C30" w:rsidRDefault="001C1372">
            <w:pPr>
              <w:pStyle w:val="ConsPlusNormal0"/>
              <w:jc w:val="center"/>
            </w:pPr>
            <w:r>
              <w:t xml:space="preserve">Соответствует </w:t>
            </w:r>
            <w:proofErr w:type="spellStart"/>
            <w:r>
              <w:t>Passed</w:t>
            </w:r>
            <w:proofErr w:type="spellEnd"/>
          </w:p>
        </w:tc>
        <w:tc>
          <w:tcPr>
            <w:tcW w:w="1757" w:type="dxa"/>
            <w:vAlign w:val="center"/>
          </w:tcPr>
          <w:p w:rsidR="006C1C30" w:rsidRDefault="001C1372">
            <w:pPr>
              <w:pStyle w:val="ConsPlusNormal0"/>
              <w:jc w:val="center"/>
            </w:pPr>
            <w:r>
              <w:t xml:space="preserve">Не соответствует </w:t>
            </w:r>
            <w:proofErr w:type="spellStart"/>
            <w:r>
              <w:t>Failed</w:t>
            </w:r>
            <w:proofErr w:type="spellEnd"/>
          </w:p>
        </w:tc>
      </w:tr>
      <w:tr w:rsidR="006C1C30" w:rsidRPr="001449F4">
        <w:tblPrEx>
          <w:tblBorders>
            <w:insideH w:val="nil"/>
          </w:tblBorders>
        </w:tblPrEx>
        <w:tc>
          <w:tcPr>
            <w:tcW w:w="521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6C1C30" w:rsidRPr="001449F4" w:rsidRDefault="001C1372">
            <w:pPr>
              <w:pStyle w:val="ConsPlusNormal0"/>
              <w:rPr>
                <w:lang w:val="en-US"/>
              </w:rPr>
            </w:pPr>
            <w:r w:rsidRPr="001449F4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:rsidR="006C1C30" w:rsidRPr="001449F4" w:rsidRDefault="006C1C30">
            <w:pPr>
              <w:pStyle w:val="ConsPlusNormal0"/>
              <w:rPr>
                <w:lang w:val="en-US"/>
              </w:rPr>
            </w:pPr>
          </w:p>
        </w:tc>
        <w:tc>
          <w:tcPr>
            <w:tcW w:w="1757" w:type="dxa"/>
            <w:tcBorders>
              <w:left w:val="nil"/>
              <w:right w:val="nil"/>
            </w:tcBorders>
            <w:vAlign w:val="center"/>
          </w:tcPr>
          <w:p w:rsidR="006C1C30" w:rsidRPr="001449F4" w:rsidRDefault="006C1C30">
            <w:pPr>
              <w:pStyle w:val="ConsPlusNormal0"/>
              <w:rPr>
                <w:lang w:val="en-US"/>
              </w:rPr>
            </w:pPr>
          </w:p>
        </w:tc>
        <w:tc>
          <w:tcPr>
            <w:tcW w:w="1757" w:type="dxa"/>
            <w:tcBorders>
              <w:left w:val="nil"/>
              <w:right w:val="single" w:sz="4" w:space="0" w:color="auto"/>
            </w:tcBorders>
            <w:vAlign w:val="center"/>
          </w:tcPr>
          <w:p w:rsidR="006C1C30" w:rsidRPr="001449F4" w:rsidRDefault="006C1C30">
            <w:pPr>
              <w:pStyle w:val="ConsPlusNormal0"/>
              <w:rPr>
                <w:lang w:val="en-US"/>
              </w:rPr>
            </w:pPr>
          </w:p>
        </w:tc>
      </w:tr>
    </w:tbl>
    <w:p w:rsidR="006C1C30" w:rsidRPr="001449F4" w:rsidRDefault="006C1C30">
      <w:pPr>
        <w:pStyle w:val="ConsPlusNormal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6C1C30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1C1372">
            <w:pPr>
              <w:pStyle w:val="ConsPlusNormal0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35"/>
        <w:gridCol w:w="365"/>
        <w:gridCol w:w="365"/>
        <w:gridCol w:w="365"/>
        <w:gridCol w:w="365"/>
        <w:gridCol w:w="365"/>
        <w:gridCol w:w="340"/>
      </w:tblGrid>
      <w:tr w:rsidR="006C1C30">
        <w:tc>
          <w:tcPr>
            <w:tcW w:w="680" w:type="dxa"/>
          </w:tcPr>
          <w:p w:rsidR="006C1C30" w:rsidRDefault="001C1372">
            <w:pPr>
              <w:pStyle w:val="ConsPlusNormal0"/>
              <w:jc w:val="both"/>
            </w:pPr>
            <w:r>
              <w:t>Дата:</w:t>
            </w: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680" w:type="dxa"/>
            <w:gridSpan w:val="2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6C1C30" w:rsidRDefault="001C1372">
            <w:pPr>
              <w:pStyle w:val="ConsPlusNormal0"/>
              <w:jc w:val="both"/>
            </w:pPr>
            <w:r>
              <w:t>Повторный технический осмотр провести до:</w:t>
            </w:r>
          </w:p>
        </w:tc>
        <w:tc>
          <w:tcPr>
            <w:tcW w:w="365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9080" w:type="dxa"/>
            <w:gridSpan w:val="18"/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insideH w:val="nil"/>
          </w:tblBorders>
        </w:tblPrEx>
        <w:tc>
          <w:tcPr>
            <w:tcW w:w="9080" w:type="dxa"/>
            <w:gridSpan w:val="18"/>
            <w:tcBorders>
              <w:bottom w:val="nil"/>
            </w:tcBorders>
          </w:tcPr>
          <w:p w:rsidR="006C1C30" w:rsidRDefault="001C1372">
            <w:pPr>
              <w:pStyle w:val="ConsPlusNormal0"/>
              <w:jc w:val="both"/>
            </w:pPr>
            <w:r>
              <w:t>Ф.И.О. технического эксперта</w:t>
            </w:r>
          </w:p>
        </w:tc>
      </w:tr>
      <w:tr w:rsidR="006C1C30">
        <w:tblPrEx>
          <w:tblBorders>
            <w:insideH w:val="nil"/>
          </w:tblBorders>
        </w:tblPrEx>
        <w:tc>
          <w:tcPr>
            <w:tcW w:w="9080" w:type="dxa"/>
            <w:gridSpan w:val="18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insideH w:val="nil"/>
          </w:tblBorders>
        </w:tblPrEx>
        <w:tc>
          <w:tcPr>
            <w:tcW w:w="3740" w:type="dxa"/>
            <w:gridSpan w:val="10"/>
            <w:tcBorders>
              <w:bottom w:val="nil"/>
            </w:tcBorders>
          </w:tcPr>
          <w:p w:rsidR="006C1C30" w:rsidRDefault="001C1372">
            <w:pPr>
              <w:pStyle w:val="ConsPlusNormal0"/>
              <w:jc w:val="both"/>
            </w:pPr>
            <w:r>
              <w:t>Подпись</w:t>
            </w:r>
          </w:p>
        </w:tc>
        <w:tc>
          <w:tcPr>
            <w:tcW w:w="5340" w:type="dxa"/>
            <w:gridSpan w:val="8"/>
            <w:tcBorders>
              <w:bottom w:val="nil"/>
            </w:tcBorders>
          </w:tcPr>
          <w:p w:rsidR="006C1C30" w:rsidRDefault="001C1372">
            <w:pPr>
              <w:pStyle w:val="ConsPlusNormal0"/>
              <w:jc w:val="both"/>
            </w:pPr>
            <w:r>
              <w:t xml:space="preserve">Печать </w:t>
            </w:r>
            <w:hyperlink w:anchor="P1266" w:tooltip="&lt;1&gt; Печать оператора технического осмотра проставляется в случае выдачи диагностической карты на бумажном носителе.">
              <w:r>
                <w:rPr>
                  <w:color w:val="0000FF"/>
                </w:rPr>
                <w:t>&lt;1&gt;</w:t>
              </w:r>
            </w:hyperlink>
          </w:p>
        </w:tc>
      </w:tr>
      <w:tr w:rsidR="006C1C30">
        <w:tblPrEx>
          <w:tblBorders>
            <w:insideH w:val="nil"/>
          </w:tblBorders>
        </w:tblPrEx>
        <w:tc>
          <w:tcPr>
            <w:tcW w:w="3740" w:type="dxa"/>
            <w:gridSpan w:val="10"/>
            <w:tcBorders>
              <w:top w:val="nil"/>
            </w:tcBorders>
          </w:tcPr>
          <w:p w:rsidR="006C1C30" w:rsidRDefault="001C1372">
            <w:pPr>
              <w:pStyle w:val="ConsPlusNormal0"/>
              <w:jc w:val="both"/>
            </w:pPr>
            <w:proofErr w:type="spellStart"/>
            <w:r>
              <w:t>Signature</w:t>
            </w:r>
            <w:proofErr w:type="spellEnd"/>
          </w:p>
        </w:tc>
        <w:tc>
          <w:tcPr>
            <w:tcW w:w="5340" w:type="dxa"/>
            <w:gridSpan w:val="8"/>
            <w:tcBorders>
              <w:top w:val="nil"/>
            </w:tcBorders>
          </w:tcPr>
          <w:p w:rsidR="006C1C30" w:rsidRDefault="001C1372">
            <w:pPr>
              <w:pStyle w:val="ConsPlusNormal0"/>
              <w:jc w:val="both"/>
            </w:pPr>
            <w:proofErr w:type="spellStart"/>
            <w:r>
              <w:t>Stamp</w:t>
            </w:r>
            <w:proofErr w:type="spellEnd"/>
          </w:p>
        </w:tc>
      </w:tr>
    </w:tbl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--------------------------------</w:t>
      </w:r>
    </w:p>
    <w:p w:rsidR="006C1C30" w:rsidRDefault="001C1372">
      <w:pPr>
        <w:pStyle w:val="ConsPlusNormal0"/>
        <w:spacing w:before="240"/>
        <w:ind w:firstLine="540"/>
        <w:jc w:val="both"/>
      </w:pPr>
      <w:bookmarkStart w:id="14" w:name="P1266"/>
      <w:bookmarkEnd w:id="14"/>
      <w:r>
        <w:t>&lt;1&gt; Печать оператора технического осмотра проставляется в случае выдачи диагностической карты на бумажном носителе.</w:t>
      </w:r>
    </w:p>
    <w:p w:rsidR="006C1C30" w:rsidRDefault="006C1C30">
      <w:pPr>
        <w:pStyle w:val="ConsPlusNormal0"/>
        <w:ind w:firstLine="54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jc w:val="right"/>
        <w:outlineLvl w:val="0"/>
      </w:pPr>
      <w:r>
        <w:t>Утверждены</w:t>
      </w:r>
    </w:p>
    <w:p w:rsidR="006C1C30" w:rsidRDefault="001C1372">
      <w:pPr>
        <w:pStyle w:val="ConsPlusNormal0"/>
        <w:jc w:val="right"/>
      </w:pPr>
      <w:r>
        <w:t>постановлением Правительства</w:t>
      </w:r>
    </w:p>
    <w:p w:rsidR="006C1C30" w:rsidRDefault="001C1372">
      <w:pPr>
        <w:pStyle w:val="ConsPlusNormal0"/>
        <w:jc w:val="right"/>
      </w:pPr>
      <w:r>
        <w:t>Российской Федерации</w:t>
      </w:r>
    </w:p>
    <w:p w:rsidR="006C1C30" w:rsidRDefault="001C1372">
      <w:pPr>
        <w:pStyle w:val="ConsPlusNormal0"/>
        <w:jc w:val="right"/>
      </w:pPr>
      <w:r>
        <w:t>от 15 сентября 2020 г. N 1434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Title0"/>
        <w:jc w:val="center"/>
      </w:pPr>
      <w:bookmarkStart w:id="15" w:name="P1277"/>
      <w:bookmarkEnd w:id="15"/>
      <w:r>
        <w:t>ИЗМЕНЕНИЯ,</w:t>
      </w:r>
    </w:p>
    <w:p w:rsidR="006C1C30" w:rsidRDefault="001C1372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6C1C30" w:rsidRDefault="006C1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26.10.2020 N 1742,</w:t>
            </w:r>
          </w:p>
          <w:p w:rsidR="006C1C30" w:rsidRDefault="001C1372">
            <w:pPr>
              <w:pStyle w:val="ConsPlusNormal0"/>
              <w:jc w:val="center"/>
            </w:pPr>
            <w:r>
              <w:rPr>
                <w:color w:val="392C69"/>
              </w:rPr>
              <w:t>от 30.06.2021 N 1101)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1. Утратил силу. - Постановление Правительства РФ от 26.10.2020 N 1742.</w:t>
      </w:r>
    </w:p>
    <w:p w:rsidR="006C1C30" w:rsidRDefault="006C1C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1C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C30" w:rsidRDefault="001C137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C1C30" w:rsidRDefault="001C1372">
            <w:pPr>
              <w:pStyle w:val="ConsPlusNormal0"/>
              <w:jc w:val="both"/>
            </w:pPr>
            <w:r>
              <w:rPr>
                <w:color w:val="392C69"/>
              </w:rPr>
              <w:t xml:space="preserve">П. 2 </w:t>
            </w:r>
            <w:hyperlink w:anchor="P20" w:tooltip="3. Пункт 2 изменений, утвержденных настоящим постановлением, вступает в силу со дня вступления в силу Федерального закона &quot;О внесении изменений в Федеральный закон &quot;О техническом осмотре транспортных средств и о внесении изменений в отдельные законодательные а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1C1372">
      <w:pPr>
        <w:pStyle w:val="ConsPlusNormal0"/>
        <w:spacing w:before="300"/>
        <w:ind w:firstLine="540"/>
        <w:jc w:val="both"/>
      </w:pPr>
      <w:bookmarkStart w:id="16" w:name="P1286"/>
      <w:bookmarkEnd w:id="16"/>
      <w:r>
        <w:t>2. В пункте 1 постановления Правительства Российской Федерации от 17 апреля 2013 г. N 348 "О техническом осмотре транспортных средств органов, осуществляющих оперативно-</w:t>
      </w:r>
      <w:proofErr w:type="spellStart"/>
      <w:r>
        <w:t>разыскную</w:t>
      </w:r>
      <w:proofErr w:type="spellEnd"/>
      <w:r>
        <w:t xml:space="preserve"> деятельность" (Собрание законодательства Российской Федерации, 2013, N 16, ст. 1975)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3. В Правилах организации и проведения технического осмотра автобусов, утвержденных постановлением Правительства Российской Федерации от 23 мая 2020 г. N 741 "Об утверждении Правил организации и проведения технического осмотра автобусов" (Собрание законодательства Российской Федерации, 2020, N 22, ст. 3508):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а) в пункте 4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 "О проведении технического осмотра транспортных средств"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Федерации";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б) приложение изложить в следующей редакции: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jc w:val="right"/>
      </w:pPr>
      <w:r>
        <w:t>"Приложение</w:t>
      </w:r>
    </w:p>
    <w:p w:rsidR="006C1C30" w:rsidRDefault="001C1372">
      <w:pPr>
        <w:pStyle w:val="ConsPlusNormal0"/>
        <w:jc w:val="right"/>
      </w:pPr>
      <w:r>
        <w:t>к Правилам организации и проведения</w:t>
      </w:r>
    </w:p>
    <w:p w:rsidR="006C1C30" w:rsidRDefault="001C1372">
      <w:pPr>
        <w:pStyle w:val="ConsPlusNormal0"/>
        <w:jc w:val="right"/>
      </w:pPr>
      <w:r>
        <w:t>технического осмотра автобусов</w:t>
      </w:r>
    </w:p>
    <w:p w:rsidR="006C1C30" w:rsidRDefault="001C1372">
      <w:pPr>
        <w:pStyle w:val="ConsPlusNormal0"/>
        <w:jc w:val="right"/>
      </w:pPr>
      <w:r>
        <w:t>(в редакции постановления</w:t>
      </w:r>
    </w:p>
    <w:p w:rsidR="006C1C30" w:rsidRDefault="001C1372">
      <w:pPr>
        <w:pStyle w:val="ConsPlusNormal0"/>
        <w:jc w:val="right"/>
      </w:pPr>
      <w:r>
        <w:t>Правительства Российской Федерации</w:t>
      </w:r>
    </w:p>
    <w:p w:rsidR="006C1C30" w:rsidRDefault="001C1372">
      <w:pPr>
        <w:pStyle w:val="ConsPlusNormal0"/>
        <w:jc w:val="right"/>
      </w:pPr>
      <w:r>
        <w:t>от 15 сентября 2020 г. N 1434)</w:t>
      </w:r>
    </w:p>
    <w:p w:rsidR="006C1C30" w:rsidRDefault="006C1C30">
      <w:pPr>
        <w:pStyle w:val="ConsPlusNormal0"/>
        <w:jc w:val="both"/>
      </w:pPr>
    </w:p>
    <w:p w:rsidR="006C1C30" w:rsidRPr="001449F4" w:rsidRDefault="001C1372">
      <w:pPr>
        <w:pStyle w:val="ConsPlusNormal0"/>
        <w:jc w:val="center"/>
        <w:rPr>
          <w:lang w:val="en-US"/>
        </w:rPr>
      </w:pPr>
      <w:r>
        <w:t>Диагностическая</w:t>
      </w:r>
      <w:r w:rsidRPr="001449F4">
        <w:rPr>
          <w:lang w:val="en-US"/>
        </w:rPr>
        <w:t xml:space="preserve"> </w:t>
      </w:r>
      <w:r>
        <w:t>карта</w:t>
      </w:r>
    </w:p>
    <w:p w:rsidR="006C1C30" w:rsidRPr="001449F4" w:rsidRDefault="006C1C30">
      <w:pPr>
        <w:pStyle w:val="ConsPlusNormal0"/>
        <w:jc w:val="both"/>
        <w:rPr>
          <w:lang w:val="en-US"/>
        </w:rPr>
      </w:pPr>
    </w:p>
    <w:p w:rsidR="006C1C30" w:rsidRPr="001449F4" w:rsidRDefault="001C1372">
      <w:pPr>
        <w:pStyle w:val="ConsPlusNormal0"/>
        <w:jc w:val="center"/>
        <w:rPr>
          <w:lang w:val="en-US"/>
        </w:rPr>
      </w:pPr>
      <w:r w:rsidRPr="001449F4">
        <w:rPr>
          <w:lang w:val="en-US"/>
        </w:rPr>
        <w:t>Certificate of periodic technical inspection</w:t>
      </w:r>
    </w:p>
    <w:p w:rsidR="006C1C30" w:rsidRPr="001449F4" w:rsidRDefault="006C1C30">
      <w:pPr>
        <w:pStyle w:val="ConsPlusNormal0"/>
        <w:jc w:val="both"/>
        <w:rPr>
          <w:lang w:val="en-US"/>
        </w:rPr>
      </w:pPr>
    </w:p>
    <w:p w:rsidR="006C1C30" w:rsidRPr="001449F4" w:rsidRDefault="006C1C30">
      <w:pPr>
        <w:pStyle w:val="ConsPlusNormal0"/>
        <w:rPr>
          <w:lang w:val="en-US"/>
        </w:rPr>
        <w:sectPr w:rsidR="006C1C30" w:rsidRPr="001449F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6C1C30">
        <w:tc>
          <w:tcPr>
            <w:tcW w:w="6347" w:type="dxa"/>
            <w:gridSpan w:val="17"/>
            <w:tcBorders>
              <w:bottom w:val="nil"/>
            </w:tcBorders>
          </w:tcPr>
          <w:p w:rsidR="006C1C30" w:rsidRDefault="001C1372">
            <w:pPr>
              <w:pStyle w:val="ConsPlusNormal0"/>
            </w:pPr>
            <w:r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6C1C30" w:rsidRDefault="001C1372">
            <w:pPr>
              <w:pStyle w:val="ConsPlusNormal0"/>
            </w:pPr>
            <w:r>
              <w:t>Срок действия до</w:t>
            </w:r>
          </w:p>
        </w:tc>
      </w:tr>
      <w:tr w:rsidR="006C1C30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6347" w:type="dxa"/>
            <w:gridSpan w:val="17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6C1C30">
        <w:tc>
          <w:tcPr>
            <w:tcW w:w="11445" w:type="dxa"/>
            <w:gridSpan w:val="7"/>
          </w:tcPr>
          <w:p w:rsidR="006C1C30" w:rsidRDefault="001C1372">
            <w:pPr>
              <w:pStyle w:val="ConsPlusNormal0"/>
            </w:pPr>
            <w:r>
              <w:t>Оператор технического осмотра:</w:t>
            </w:r>
          </w:p>
        </w:tc>
      </w:tr>
      <w:tr w:rsidR="006C1C30">
        <w:tc>
          <w:tcPr>
            <w:tcW w:w="11445" w:type="dxa"/>
            <w:gridSpan w:val="7"/>
          </w:tcPr>
          <w:p w:rsidR="006C1C30" w:rsidRDefault="001C1372">
            <w:pPr>
              <w:pStyle w:val="ConsPlusNormal0"/>
            </w:pPr>
            <w:r>
              <w:t>Пункт технического осмотра (передвижная диагностическая линия):</w:t>
            </w:r>
          </w:p>
        </w:tc>
      </w:tr>
      <w:tr w:rsidR="006C1C30">
        <w:tc>
          <w:tcPr>
            <w:tcW w:w="2580" w:type="dxa"/>
            <w:gridSpan w:val="2"/>
          </w:tcPr>
          <w:p w:rsidR="006C1C30" w:rsidRDefault="001C1372">
            <w:pPr>
              <w:pStyle w:val="ConsPlusNormal0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83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252" w:type="dxa"/>
          </w:tcPr>
          <w:p w:rsidR="006C1C30" w:rsidRDefault="001C1372">
            <w:pPr>
              <w:pStyle w:val="ConsPlusNormal0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103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6750" w:type="dxa"/>
            <w:gridSpan w:val="4"/>
          </w:tcPr>
          <w:p w:rsidR="006C1C30" w:rsidRDefault="001C1372">
            <w:pPr>
              <w:pStyle w:val="ConsPlusNormal0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6C1C30" w:rsidRDefault="001C1372">
            <w:pPr>
              <w:pStyle w:val="ConsPlusNormal0"/>
            </w:pPr>
            <w:r>
              <w:t>Марка, модель ТС:</w:t>
            </w:r>
          </w:p>
        </w:tc>
      </w:tr>
      <w:tr w:rsidR="006C1C30">
        <w:tc>
          <w:tcPr>
            <w:tcW w:w="1681" w:type="dxa"/>
          </w:tcPr>
          <w:p w:rsidR="006C1C30" w:rsidRDefault="001C1372">
            <w:pPr>
              <w:pStyle w:val="ConsPlusNormal0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4695" w:type="dxa"/>
            <w:gridSpan w:val="3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681" w:type="dxa"/>
          </w:tcPr>
          <w:p w:rsidR="006C1C30" w:rsidRDefault="001C1372">
            <w:pPr>
              <w:pStyle w:val="ConsPlusNormal0"/>
            </w:pPr>
            <w:r>
              <w:t>Номер рамы</w:t>
            </w:r>
          </w:p>
        </w:tc>
        <w:tc>
          <w:tcPr>
            <w:tcW w:w="5069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4695" w:type="dxa"/>
            <w:gridSpan w:val="3"/>
          </w:tcPr>
          <w:p w:rsidR="006C1C30" w:rsidRDefault="001C1372">
            <w:pPr>
              <w:pStyle w:val="ConsPlusNormal0"/>
            </w:pPr>
            <w:r>
              <w:t>Категория ТС:</w:t>
            </w:r>
          </w:p>
        </w:tc>
      </w:tr>
      <w:tr w:rsidR="006C1C30">
        <w:tc>
          <w:tcPr>
            <w:tcW w:w="1681" w:type="dxa"/>
          </w:tcPr>
          <w:p w:rsidR="006C1C30" w:rsidRDefault="001C1372">
            <w:pPr>
              <w:pStyle w:val="ConsPlusNormal0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6C1C30" w:rsidRDefault="006C1C30">
            <w:pPr>
              <w:pStyle w:val="ConsPlusNormal0"/>
            </w:pPr>
          </w:p>
        </w:tc>
        <w:tc>
          <w:tcPr>
            <w:tcW w:w="4695" w:type="dxa"/>
            <w:gridSpan w:val="3"/>
          </w:tcPr>
          <w:p w:rsidR="006C1C30" w:rsidRDefault="001C1372">
            <w:pPr>
              <w:pStyle w:val="ConsPlusNormal0"/>
            </w:pPr>
            <w:r>
              <w:t>Год выпуска ТС:</w:t>
            </w:r>
          </w:p>
        </w:tc>
      </w:tr>
      <w:tr w:rsidR="006C1C30">
        <w:tc>
          <w:tcPr>
            <w:tcW w:w="11445" w:type="dxa"/>
            <w:gridSpan w:val="7"/>
          </w:tcPr>
          <w:p w:rsidR="006C1C30" w:rsidRDefault="001C1372">
            <w:pPr>
              <w:pStyle w:val="ConsPlusNormal0"/>
            </w:pPr>
            <w:r>
              <w:t>СРТС или ПТС (ЭПТС) (серия, номер, выдан (оформлен) кем, когда):</w:t>
            </w:r>
          </w:p>
        </w:tc>
      </w:tr>
      <w:tr w:rsidR="006C1C30">
        <w:tc>
          <w:tcPr>
            <w:tcW w:w="11445" w:type="dxa"/>
            <w:gridSpan w:val="7"/>
          </w:tcPr>
          <w:p w:rsidR="006C1C30" w:rsidRDefault="001C1372">
            <w:pPr>
              <w:pStyle w:val="ConsPlusNormal0"/>
            </w:pPr>
            <w:proofErr w:type="spellStart"/>
            <w:r>
              <w:t>Тахограф</w:t>
            </w:r>
            <w:proofErr w:type="spellEnd"/>
            <w:r>
              <w:t xml:space="preserve"> или контрольное устройство (</w:t>
            </w:r>
            <w:proofErr w:type="spellStart"/>
            <w:r>
              <w:t>тахограф</w:t>
            </w:r>
            <w:proofErr w:type="spellEnd"/>
            <w:r>
              <w:t>) (марка, модель, серийный номер):</w:t>
            </w: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N &lt;* &gt;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N &lt;*&gt;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N &lt;*&gt;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3683" w:type="dxa"/>
            <w:gridSpan w:val="3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Наличие и расположение фар и сигнальных фонарей в местах, предусмотренных конструкцией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015" w:type="dxa"/>
            <w:vMerge w:val="restart"/>
          </w:tcPr>
          <w:p w:rsidR="006C1C30" w:rsidRDefault="001C1372">
            <w:pPr>
              <w:pStyle w:val="ConsPlusNormal0"/>
            </w:pPr>
            <w:r>
              <w:t>Работоспособность аварийного выключателя дверей и сигнала требования остановки</w:t>
            </w:r>
          </w:p>
        </w:tc>
        <w:tc>
          <w:tcPr>
            <w:tcW w:w="340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3683" w:type="dxa"/>
            <w:gridSpan w:val="3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отслоения.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015" w:type="dxa"/>
            <w:vMerge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980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164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 xml:space="preserve">Отсутствие продольного люфта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 xml:space="preserve">Отсутствие </w:t>
            </w:r>
            <w:proofErr w:type="spellStart"/>
            <w:r>
              <w:t>подтеканий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980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  <w:jc w:val="both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Отсутствие трещин остаточной деформации деталей тормозного привода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3683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01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 xml:space="preserve">Отсутствие </w:t>
            </w:r>
            <w:proofErr w:type="spellStart"/>
            <w:r>
              <w:t>подтекания</w:t>
            </w:r>
            <w:proofErr w:type="spellEnd"/>
            <w:r>
              <w:t xml:space="preserve"> и каплепадения топлива в системе питания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Отсутствие каплепадения масел и рабочих жидкостей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 xml:space="preserve"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</w:t>
            </w:r>
            <w:proofErr w:type="spellStart"/>
            <w:r>
              <w:t>подтекания</w:t>
            </w:r>
            <w:proofErr w:type="spellEnd"/>
            <w:r>
              <w:t xml:space="preserve"> рабочей жидкости в гидросистеме усилителя рулевого управления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980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3683" w:type="dxa"/>
            <w:gridSpan w:val="3"/>
          </w:tcPr>
          <w:p w:rsidR="006C1C30" w:rsidRDefault="001C1372">
            <w:pPr>
              <w:pStyle w:val="ConsPlusNormal0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61" w:type="dxa"/>
          </w:tcPr>
          <w:p w:rsidR="006C1C30" w:rsidRDefault="001C1372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6C1C30" w:rsidRDefault="001C1372">
            <w:pPr>
              <w:pStyle w:val="ConsPlusNormal0"/>
            </w:pPr>
            <w:r>
              <w:t xml:space="preserve">Наличие работоспособного </w:t>
            </w:r>
            <w:proofErr w:type="spellStart"/>
            <w:r>
              <w:t>тахографа</w:t>
            </w:r>
            <w:proofErr w:type="spellEnd"/>
            <w:r>
              <w:t xml:space="preserve"> или работоспособного контрольного устройства (</w:t>
            </w:r>
            <w:proofErr w:type="spellStart"/>
            <w:r>
              <w:t>тахографа</w:t>
            </w:r>
            <w:proofErr w:type="spellEnd"/>
            <w:r>
              <w:t>)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  <w:tcBorders>
              <w:bottom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816" w:type="dxa"/>
            <w:gridSpan w:val="3"/>
            <w:vMerge w:val="restart"/>
            <w:tcBorders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 xml:space="preserve">Наличие </w:t>
            </w:r>
            <w:proofErr w:type="spellStart"/>
            <w:r>
              <w:t>рассеивателей</w:t>
            </w:r>
            <w:proofErr w:type="spellEnd"/>
            <w:r>
              <w:t xml:space="preserve">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  <w:tcBorders>
              <w:top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right w:val="nil"/>
          </w:tblBorders>
        </w:tblPrEx>
        <w:tc>
          <w:tcPr>
            <w:tcW w:w="441" w:type="dxa"/>
          </w:tcPr>
          <w:p w:rsidR="006C1C30" w:rsidRDefault="001C1372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902" w:type="dxa"/>
          </w:tcPr>
          <w:p w:rsidR="006C1C30" w:rsidRDefault="001C1372">
            <w:pPr>
              <w:pStyle w:val="ConsPlusNormal0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76" w:type="dxa"/>
          </w:tcPr>
          <w:p w:rsidR="006C1C30" w:rsidRDefault="001C1372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164" w:type="dxa"/>
          </w:tcPr>
          <w:p w:rsidR="006C1C30" w:rsidRDefault="001C1372">
            <w:pPr>
              <w:pStyle w:val="ConsPlusNormal0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 противоугонного устройства</w:t>
            </w: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5"/>
        <w:gridCol w:w="1380"/>
        <w:gridCol w:w="1545"/>
        <w:gridCol w:w="4536"/>
        <w:gridCol w:w="2424"/>
      </w:tblGrid>
      <w:tr w:rsidR="006C1C30">
        <w:tc>
          <w:tcPr>
            <w:tcW w:w="11280" w:type="dxa"/>
            <w:gridSpan w:val="5"/>
          </w:tcPr>
          <w:p w:rsidR="006C1C30" w:rsidRDefault="001C1372">
            <w:pPr>
              <w:pStyle w:val="ConsPlusNormal0"/>
              <w:jc w:val="center"/>
            </w:pPr>
            <w:r>
              <w:t>Результаты диагностирования</w:t>
            </w:r>
          </w:p>
        </w:tc>
      </w:tr>
      <w:tr w:rsidR="006C1C30">
        <w:tc>
          <w:tcPr>
            <w:tcW w:w="8856" w:type="dxa"/>
            <w:gridSpan w:val="4"/>
          </w:tcPr>
          <w:p w:rsidR="006C1C30" w:rsidRDefault="001C1372">
            <w:pPr>
              <w:pStyle w:val="ConsPlusNormal0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2424" w:type="dxa"/>
            <w:vMerge w:val="restart"/>
          </w:tcPr>
          <w:p w:rsidR="006C1C30" w:rsidRDefault="001C1372">
            <w:pPr>
              <w:pStyle w:val="ConsPlusNormal0"/>
              <w:jc w:val="center"/>
            </w:pPr>
            <w:r>
              <w:t>Пункт диагностической карты</w:t>
            </w:r>
          </w:p>
        </w:tc>
      </w:tr>
      <w:tr w:rsidR="006C1C30">
        <w:tc>
          <w:tcPr>
            <w:tcW w:w="1395" w:type="dxa"/>
          </w:tcPr>
          <w:p w:rsidR="006C1C30" w:rsidRDefault="001C1372">
            <w:pPr>
              <w:pStyle w:val="ConsPlusNormal0"/>
              <w:jc w:val="center"/>
            </w:pPr>
            <w:r>
              <w:t>Нижняя граница</w:t>
            </w:r>
          </w:p>
        </w:tc>
        <w:tc>
          <w:tcPr>
            <w:tcW w:w="1380" w:type="dxa"/>
          </w:tcPr>
          <w:p w:rsidR="006C1C30" w:rsidRDefault="001C1372">
            <w:pPr>
              <w:pStyle w:val="ConsPlusNormal0"/>
              <w:jc w:val="center"/>
            </w:pPr>
            <w:r>
              <w:t>Результат проверки</w:t>
            </w:r>
          </w:p>
        </w:tc>
        <w:tc>
          <w:tcPr>
            <w:tcW w:w="1545" w:type="dxa"/>
          </w:tcPr>
          <w:p w:rsidR="006C1C30" w:rsidRDefault="001C1372">
            <w:pPr>
              <w:pStyle w:val="ConsPlusNormal0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6C1C30" w:rsidRDefault="001C1372">
            <w:pPr>
              <w:pStyle w:val="ConsPlusNormal0"/>
              <w:jc w:val="center"/>
            </w:pPr>
            <w:r>
              <w:t>Наименование требования</w:t>
            </w:r>
          </w:p>
        </w:tc>
        <w:tc>
          <w:tcPr>
            <w:tcW w:w="2424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39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8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4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536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39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8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4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536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39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8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4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536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39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8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4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536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39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8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4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536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39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8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4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536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39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8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4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536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39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38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154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4536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8856" w:type="dxa"/>
            <w:gridSpan w:val="4"/>
            <w:vAlign w:val="bottom"/>
          </w:tcPr>
          <w:p w:rsidR="006C1C30" w:rsidRDefault="001C1372">
            <w:pPr>
              <w:pStyle w:val="ConsPlusNormal0"/>
              <w:jc w:val="center"/>
            </w:pPr>
            <w:r>
              <w:t>Невыполненные требования</w:t>
            </w:r>
          </w:p>
        </w:tc>
        <w:tc>
          <w:tcPr>
            <w:tcW w:w="2424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775" w:type="dxa"/>
            <w:gridSpan w:val="2"/>
            <w:vAlign w:val="bottom"/>
          </w:tcPr>
          <w:p w:rsidR="006C1C30" w:rsidRDefault="001C1372">
            <w:pPr>
              <w:pStyle w:val="ConsPlusNormal0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6081" w:type="dxa"/>
            <w:gridSpan w:val="2"/>
            <w:vAlign w:val="bottom"/>
          </w:tcPr>
          <w:p w:rsidR="006C1C30" w:rsidRDefault="001C1372">
            <w:pPr>
              <w:pStyle w:val="ConsPlusNormal0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2424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775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608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775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608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775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608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775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608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775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608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775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608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2775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6081" w:type="dxa"/>
            <w:gridSpan w:val="2"/>
          </w:tcPr>
          <w:p w:rsidR="006C1C30" w:rsidRDefault="006C1C30">
            <w:pPr>
              <w:pStyle w:val="ConsPlusNormal0"/>
            </w:pPr>
          </w:p>
        </w:tc>
        <w:tc>
          <w:tcPr>
            <w:tcW w:w="2424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1280" w:type="dxa"/>
            <w:gridSpan w:val="5"/>
            <w:vAlign w:val="bottom"/>
          </w:tcPr>
          <w:p w:rsidR="006C1C30" w:rsidRDefault="001C1372">
            <w:pPr>
              <w:pStyle w:val="ConsPlusNormal0"/>
            </w:pPr>
            <w:r>
              <w:t>Примечания:</w:t>
            </w:r>
          </w:p>
        </w:tc>
      </w:tr>
      <w:tr w:rsidR="006C1C30">
        <w:tc>
          <w:tcPr>
            <w:tcW w:w="11280" w:type="dxa"/>
            <w:gridSpan w:val="5"/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3"/>
        <w:gridCol w:w="1462"/>
        <w:gridCol w:w="340"/>
        <w:gridCol w:w="2450"/>
        <w:gridCol w:w="2265"/>
        <w:gridCol w:w="680"/>
      </w:tblGrid>
      <w:tr w:rsidR="006C1C30">
        <w:tc>
          <w:tcPr>
            <w:tcW w:w="112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1C30" w:rsidRDefault="001C1372">
            <w:pPr>
              <w:pStyle w:val="ConsPlusNormal0"/>
              <w:jc w:val="center"/>
            </w:pPr>
            <w:r>
              <w:t>Данные транспортного средства</w:t>
            </w:r>
          </w:p>
        </w:tc>
      </w:tr>
      <w:tr w:rsidR="006C1C30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6C1C30" w:rsidRDefault="001C1372">
            <w:pPr>
              <w:pStyle w:val="ConsPlusNormal0"/>
            </w:pPr>
            <w:r>
              <w:t>Масса без нагрузки:</w:t>
            </w:r>
          </w:p>
        </w:tc>
        <w:tc>
          <w:tcPr>
            <w:tcW w:w="7197" w:type="dxa"/>
            <w:gridSpan w:val="5"/>
          </w:tcPr>
          <w:p w:rsidR="006C1C30" w:rsidRDefault="001C1372">
            <w:pPr>
              <w:pStyle w:val="ConsPlusNormal0"/>
            </w:pPr>
            <w:r>
              <w:t>Разрешенная максимальная масса:</w:t>
            </w:r>
          </w:p>
        </w:tc>
      </w:tr>
      <w:tr w:rsidR="006C1C30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6C1C30" w:rsidRDefault="001C1372">
            <w:pPr>
              <w:pStyle w:val="ConsPlusNormal0"/>
            </w:pPr>
            <w:r>
              <w:t>Тип топлива:</w:t>
            </w:r>
          </w:p>
        </w:tc>
        <w:tc>
          <w:tcPr>
            <w:tcW w:w="7197" w:type="dxa"/>
            <w:gridSpan w:val="5"/>
          </w:tcPr>
          <w:p w:rsidR="006C1C30" w:rsidRDefault="001C1372">
            <w:pPr>
              <w:pStyle w:val="ConsPlusNormal0"/>
            </w:pPr>
            <w:r>
              <w:t>Пробег ТС:</w:t>
            </w:r>
          </w:p>
        </w:tc>
      </w:tr>
      <w:tr w:rsidR="006C1C30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6C1C30" w:rsidRDefault="001C1372">
            <w:pPr>
              <w:pStyle w:val="ConsPlusNormal0"/>
            </w:pPr>
            <w:r>
              <w:t>Тип тормозной системы:</w:t>
            </w:r>
          </w:p>
        </w:tc>
        <w:tc>
          <w:tcPr>
            <w:tcW w:w="7197" w:type="dxa"/>
            <w:gridSpan w:val="5"/>
          </w:tcPr>
          <w:p w:rsidR="006C1C30" w:rsidRDefault="001C1372">
            <w:pPr>
              <w:pStyle w:val="ConsPlusNormal0"/>
            </w:pPr>
            <w:r>
              <w:t>Марка шин:</w:t>
            </w:r>
          </w:p>
        </w:tc>
      </w:tr>
      <w:tr w:rsidR="006C1C30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6C1C30" w:rsidRDefault="001C1372">
            <w:pPr>
              <w:pStyle w:val="ConsPlusNormal0"/>
            </w:pPr>
            <w:r>
              <w:t>Сведения о газовом баллоне (газовых баллонах)</w:t>
            </w:r>
          </w:p>
          <w:p w:rsidR="006C1C30" w:rsidRDefault="001C1372">
            <w:pPr>
              <w:pStyle w:val="ConsPlusNormal0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197" w:type="dxa"/>
            <w:gridSpan w:val="5"/>
          </w:tcPr>
          <w:p w:rsidR="006C1C30" w:rsidRDefault="001C1372">
            <w:pPr>
              <w:pStyle w:val="ConsPlusNormal0"/>
            </w:pPr>
            <w:r>
              <w:t>Сведения по газобаллонному оборудованию</w:t>
            </w:r>
          </w:p>
          <w:p w:rsidR="006C1C30" w:rsidRDefault="001C1372">
            <w:pPr>
              <w:pStyle w:val="ConsPlusNormal0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6C1C30" w:rsidRPr="001449F4">
        <w:tc>
          <w:tcPr>
            <w:tcW w:w="5535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6C1C30" w:rsidRDefault="001C1372">
            <w:pPr>
              <w:pStyle w:val="ConsPlusNormal0"/>
            </w:pPr>
            <w:r>
              <w:t>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  <w:p w:rsidR="006C1C30" w:rsidRPr="001449F4" w:rsidRDefault="001C1372">
            <w:pPr>
              <w:pStyle w:val="ConsPlusNormal0"/>
              <w:rPr>
                <w:lang w:val="en-US"/>
              </w:rPr>
            </w:pPr>
            <w:r w:rsidRPr="001449F4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6C1C30" w:rsidRPr="001449F4" w:rsidRDefault="006C1C30">
            <w:pPr>
              <w:pStyle w:val="ConsPlusNormal0"/>
              <w:rPr>
                <w:lang w:val="en-US"/>
              </w:rPr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6C1C30" w:rsidRPr="001449F4" w:rsidRDefault="006C1C30">
            <w:pPr>
              <w:pStyle w:val="ConsPlusNormal0"/>
              <w:rPr>
                <w:lang w:val="en-US"/>
              </w:rPr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6C1C30" w:rsidRPr="001449F4" w:rsidRDefault="006C1C30">
            <w:pPr>
              <w:pStyle w:val="ConsPlusNormal0"/>
              <w:rPr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4" w:space="0" w:color="auto"/>
            </w:tcBorders>
          </w:tcPr>
          <w:p w:rsidR="006C1C30" w:rsidRPr="001449F4" w:rsidRDefault="006C1C30">
            <w:pPr>
              <w:pStyle w:val="ConsPlusNormal0"/>
              <w:rPr>
                <w:lang w:val="en-US"/>
              </w:rPr>
            </w:pPr>
          </w:p>
        </w:tc>
      </w:tr>
      <w:tr w:rsidR="006C1C30">
        <w:tblPrEx>
          <w:tblBorders>
            <w:insideH w:val="nil"/>
            <w:insideV w:val="single" w:sz="4" w:space="0" w:color="auto"/>
          </w:tblBorders>
        </w:tblPrEx>
        <w:tc>
          <w:tcPr>
            <w:tcW w:w="5535" w:type="dxa"/>
            <w:gridSpan w:val="2"/>
            <w:vMerge/>
            <w:tcBorders>
              <w:right w:val="nil"/>
            </w:tcBorders>
          </w:tcPr>
          <w:p w:rsidR="006C1C30" w:rsidRPr="001449F4" w:rsidRDefault="006C1C30">
            <w:pPr>
              <w:pStyle w:val="ConsPlusNormal0"/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C1C30" w:rsidRPr="001449F4" w:rsidRDefault="006C1C30">
            <w:pPr>
              <w:pStyle w:val="ConsPlusNormal0"/>
              <w:rPr>
                <w:lang w:val="en-US"/>
              </w:rPr>
            </w:pPr>
          </w:p>
        </w:tc>
        <w:tc>
          <w:tcPr>
            <w:tcW w:w="2450" w:type="dxa"/>
          </w:tcPr>
          <w:p w:rsidR="006C1C30" w:rsidRDefault="001C1372">
            <w:pPr>
              <w:pStyle w:val="ConsPlusNormal0"/>
              <w:jc w:val="center"/>
            </w:pPr>
            <w:r>
              <w:t>Соответствует</w:t>
            </w:r>
          </w:p>
          <w:p w:rsidR="006C1C30" w:rsidRDefault="001C1372">
            <w:pPr>
              <w:pStyle w:val="ConsPlusNormal0"/>
              <w:jc w:val="center"/>
            </w:pPr>
            <w:proofErr w:type="spellStart"/>
            <w:r>
              <w:t>Passed</w:t>
            </w:r>
            <w:proofErr w:type="spellEnd"/>
          </w:p>
        </w:tc>
        <w:tc>
          <w:tcPr>
            <w:tcW w:w="2265" w:type="dxa"/>
          </w:tcPr>
          <w:p w:rsidR="006C1C30" w:rsidRDefault="001C1372">
            <w:pPr>
              <w:pStyle w:val="ConsPlusNormal0"/>
              <w:jc w:val="center"/>
            </w:pPr>
            <w:r>
              <w:t>Не соответствует</w:t>
            </w:r>
          </w:p>
          <w:p w:rsidR="006C1C30" w:rsidRDefault="001C1372">
            <w:pPr>
              <w:pStyle w:val="ConsPlusNormal0"/>
              <w:jc w:val="center"/>
            </w:pPr>
            <w:proofErr w:type="spellStart"/>
            <w:r>
              <w:t>Failed</w:t>
            </w:r>
            <w:proofErr w:type="spellEnd"/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insideH w:val="nil"/>
          </w:tblBorders>
        </w:tblPrEx>
        <w:tc>
          <w:tcPr>
            <w:tcW w:w="553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right w:val="single" w:sz="4" w:space="0" w:color="auto"/>
            </w:tcBorders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5"/>
        <w:gridCol w:w="2910"/>
      </w:tblGrid>
      <w:tr w:rsidR="006C1C30">
        <w:tc>
          <w:tcPr>
            <w:tcW w:w="8355" w:type="dxa"/>
          </w:tcPr>
          <w:p w:rsidR="006C1C30" w:rsidRDefault="001C1372">
            <w:pPr>
              <w:pStyle w:val="ConsPlusNormal0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2910" w:type="dxa"/>
            <w:vMerge w:val="restart"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835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91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835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910" w:type="dxa"/>
            <w:vMerge/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8355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2910" w:type="dxa"/>
            <w:vMerge/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4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C1C30">
        <w:tc>
          <w:tcPr>
            <w:tcW w:w="850" w:type="dxa"/>
            <w:tcBorders>
              <w:right w:val="nil"/>
            </w:tcBorders>
          </w:tcPr>
          <w:p w:rsidR="006C1C30" w:rsidRDefault="001C1372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7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12" w:type="dxa"/>
            <w:tcBorders>
              <w:right w:val="nil"/>
            </w:tcBorders>
          </w:tcPr>
          <w:p w:rsidR="006C1C30" w:rsidRDefault="001C1372">
            <w:pPr>
              <w:pStyle w:val="ConsPlusNormal0"/>
            </w:pPr>
            <w:r>
              <w:t>Повторный технический осмотр провести до</w:t>
            </w:r>
          </w:p>
        </w:tc>
        <w:tc>
          <w:tcPr>
            <w:tcW w:w="340" w:type="dxa"/>
            <w:tcBorders>
              <w:left w:val="nil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</w:tr>
      <w:tr w:rsidR="006C1C30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570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12" w:type="dxa"/>
          </w:tcPr>
          <w:p w:rsidR="006C1C30" w:rsidRDefault="006C1C30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6C1C30" w:rsidRDefault="006C1C30">
            <w:pPr>
              <w:pStyle w:val="ConsPlusNormal0"/>
            </w:pPr>
          </w:p>
        </w:tc>
      </w:tr>
      <w:tr w:rsidR="006C1C30">
        <w:tc>
          <w:tcPr>
            <w:tcW w:w="11292" w:type="dxa"/>
            <w:gridSpan w:val="22"/>
          </w:tcPr>
          <w:p w:rsidR="006C1C30" w:rsidRDefault="001C1372">
            <w:pPr>
              <w:pStyle w:val="ConsPlusNormal0"/>
              <w:jc w:val="both"/>
            </w:pPr>
            <w:r>
              <w:t>Ф.И.О. технического эксперта</w:t>
            </w:r>
          </w:p>
        </w:tc>
      </w:tr>
      <w:tr w:rsidR="006C1C30">
        <w:tc>
          <w:tcPr>
            <w:tcW w:w="3230" w:type="dxa"/>
            <w:gridSpan w:val="8"/>
          </w:tcPr>
          <w:p w:rsidR="006C1C30" w:rsidRDefault="001C1372">
            <w:pPr>
              <w:pStyle w:val="ConsPlusNormal0"/>
              <w:jc w:val="both"/>
            </w:pPr>
            <w:r>
              <w:t>Подпись</w:t>
            </w:r>
          </w:p>
          <w:p w:rsidR="006C1C30" w:rsidRDefault="001C1372">
            <w:pPr>
              <w:pStyle w:val="ConsPlusNormal0"/>
              <w:jc w:val="both"/>
            </w:pPr>
            <w:proofErr w:type="spellStart"/>
            <w:r>
              <w:t>Signature</w:t>
            </w:r>
            <w:proofErr w:type="spellEnd"/>
          </w:p>
        </w:tc>
        <w:tc>
          <w:tcPr>
            <w:tcW w:w="8062" w:type="dxa"/>
            <w:gridSpan w:val="14"/>
          </w:tcPr>
          <w:p w:rsidR="006C1C30" w:rsidRDefault="001C1372">
            <w:pPr>
              <w:pStyle w:val="ConsPlusNormal0"/>
              <w:jc w:val="both"/>
            </w:pPr>
            <w:r>
              <w:t>Печать &lt;**&gt;</w:t>
            </w:r>
          </w:p>
          <w:p w:rsidR="006C1C30" w:rsidRDefault="001C1372">
            <w:pPr>
              <w:pStyle w:val="ConsPlusNormal0"/>
              <w:jc w:val="both"/>
            </w:pPr>
            <w:proofErr w:type="spellStart"/>
            <w:r>
              <w:t>Stamp</w:t>
            </w:r>
            <w:proofErr w:type="spellEnd"/>
          </w:p>
        </w:tc>
      </w:tr>
      <w:tr w:rsidR="006C1C30">
        <w:tc>
          <w:tcPr>
            <w:tcW w:w="11292" w:type="dxa"/>
            <w:gridSpan w:val="22"/>
          </w:tcPr>
          <w:p w:rsidR="006C1C30" w:rsidRDefault="001C1372">
            <w:pPr>
              <w:pStyle w:val="ConsPlusNormal0"/>
              <w:jc w:val="both"/>
            </w:pPr>
            <w:r>
              <w:t>Ф.И.О. сотрудника Госавтоинспекции</w:t>
            </w:r>
          </w:p>
        </w:tc>
      </w:tr>
      <w:tr w:rsidR="006C1C30">
        <w:tc>
          <w:tcPr>
            <w:tcW w:w="3230" w:type="dxa"/>
            <w:gridSpan w:val="8"/>
          </w:tcPr>
          <w:p w:rsidR="006C1C30" w:rsidRDefault="001C1372">
            <w:pPr>
              <w:pStyle w:val="ConsPlusNormal0"/>
              <w:jc w:val="both"/>
            </w:pPr>
            <w:r>
              <w:t>Подпись</w:t>
            </w:r>
          </w:p>
          <w:p w:rsidR="006C1C30" w:rsidRDefault="001C1372">
            <w:pPr>
              <w:pStyle w:val="ConsPlusNormal0"/>
              <w:jc w:val="both"/>
            </w:pPr>
            <w:proofErr w:type="spellStart"/>
            <w:r>
              <w:t>Signature</w:t>
            </w:r>
            <w:proofErr w:type="spellEnd"/>
          </w:p>
        </w:tc>
        <w:tc>
          <w:tcPr>
            <w:tcW w:w="8062" w:type="dxa"/>
            <w:gridSpan w:val="14"/>
          </w:tcPr>
          <w:p w:rsidR="006C1C30" w:rsidRDefault="006C1C30">
            <w:pPr>
              <w:pStyle w:val="ConsPlusNormal0"/>
            </w:pPr>
          </w:p>
        </w:tc>
      </w:tr>
    </w:tbl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--------------------------------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&lt;*&gt; Нумерация строк соответствует нумерации обязательных требований безопасности, предъявляемых к транспортным средствам при проведении технического осмотра отдельных категорий, указанных в приложении к Правилам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6C1C30" w:rsidRDefault="001C1372">
      <w:pPr>
        <w:pStyle w:val="ConsPlusNormal0"/>
        <w:spacing w:before="240"/>
        <w:ind w:firstLine="540"/>
        <w:jc w:val="both"/>
      </w:pPr>
      <w:r>
        <w:t>&lt;**&gt; Печать оператора технического осмотра проставляется в случае выдачи диагностической карты на бумажном носителе.".</w:t>
      </w:r>
    </w:p>
    <w:p w:rsidR="006C1C30" w:rsidRDefault="006C1C30">
      <w:pPr>
        <w:pStyle w:val="ConsPlusNormal0"/>
        <w:jc w:val="both"/>
      </w:pPr>
    </w:p>
    <w:p w:rsidR="006C1C30" w:rsidRDefault="001C1372">
      <w:pPr>
        <w:pStyle w:val="ConsPlusNormal0"/>
        <w:ind w:firstLine="540"/>
        <w:jc w:val="both"/>
      </w:pPr>
      <w:r>
        <w:t>4. Утратил силу. - Постановление Правительства РФ от 30.06.2021 N 1101.</w:t>
      </w: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jc w:val="both"/>
      </w:pPr>
    </w:p>
    <w:p w:rsidR="006C1C30" w:rsidRDefault="006C1C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1C30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54C" w:rsidRDefault="007D454C">
      <w:r>
        <w:separator/>
      </w:r>
    </w:p>
  </w:endnote>
  <w:endnote w:type="continuationSeparator" w:id="0">
    <w:p w:rsidR="007D454C" w:rsidRDefault="007D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30" w:rsidRDefault="006C1C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1C30">
      <w:trPr>
        <w:trHeight w:hRule="exact" w:val="1663"/>
      </w:trPr>
      <w:tc>
        <w:tcPr>
          <w:tcW w:w="1650" w:type="pct"/>
          <w:vAlign w:val="center"/>
        </w:tcPr>
        <w:p w:rsidR="006C1C30" w:rsidRDefault="001C13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1C30" w:rsidRDefault="0040750B">
          <w:pPr>
            <w:pStyle w:val="ConsPlusNormal0"/>
            <w:jc w:val="center"/>
          </w:pPr>
          <w:hyperlink r:id="rId1">
            <w:r w:rsidR="001C137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1C30" w:rsidRDefault="001C13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0750B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0750B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6C1C30" w:rsidRDefault="001C137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30" w:rsidRDefault="006C1C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1C30">
      <w:trPr>
        <w:trHeight w:hRule="exact" w:val="1663"/>
      </w:trPr>
      <w:tc>
        <w:tcPr>
          <w:tcW w:w="1650" w:type="pct"/>
          <w:vAlign w:val="center"/>
        </w:tcPr>
        <w:p w:rsidR="006C1C30" w:rsidRDefault="001C13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1C30" w:rsidRDefault="0040750B">
          <w:pPr>
            <w:pStyle w:val="ConsPlusNormal0"/>
            <w:jc w:val="center"/>
          </w:pPr>
          <w:hyperlink r:id="rId1">
            <w:r w:rsidR="001C137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1C30" w:rsidRDefault="001C13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0750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0750B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C1C30" w:rsidRDefault="001C137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30" w:rsidRDefault="006C1C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C1C30">
      <w:trPr>
        <w:trHeight w:hRule="exact" w:val="1170"/>
      </w:trPr>
      <w:tc>
        <w:tcPr>
          <w:tcW w:w="1650" w:type="pct"/>
          <w:vAlign w:val="center"/>
        </w:tcPr>
        <w:p w:rsidR="006C1C30" w:rsidRDefault="001C13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1C30" w:rsidRDefault="0040750B">
          <w:pPr>
            <w:pStyle w:val="ConsPlusNormal0"/>
            <w:jc w:val="center"/>
          </w:pPr>
          <w:hyperlink r:id="rId1">
            <w:r w:rsidR="001C137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1C30" w:rsidRDefault="001C13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0750B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0750B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6C1C30" w:rsidRDefault="001C137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30" w:rsidRDefault="006C1C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C1C30">
      <w:trPr>
        <w:trHeight w:hRule="exact" w:val="1170"/>
      </w:trPr>
      <w:tc>
        <w:tcPr>
          <w:tcW w:w="1650" w:type="pct"/>
          <w:vAlign w:val="center"/>
        </w:tcPr>
        <w:p w:rsidR="006C1C30" w:rsidRDefault="001C13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1C30" w:rsidRDefault="0040750B">
          <w:pPr>
            <w:pStyle w:val="ConsPlusNormal0"/>
            <w:jc w:val="center"/>
          </w:pPr>
          <w:hyperlink r:id="rId1">
            <w:r w:rsidR="001C137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1C30" w:rsidRDefault="001C13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0750B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0750B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6C1C30" w:rsidRDefault="001C137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54C" w:rsidRDefault="007D454C">
      <w:r>
        <w:separator/>
      </w:r>
    </w:p>
  </w:footnote>
  <w:footnote w:type="continuationSeparator" w:id="0">
    <w:p w:rsidR="007D454C" w:rsidRDefault="007D4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1C30">
      <w:trPr>
        <w:trHeight w:hRule="exact" w:val="1683"/>
      </w:trPr>
      <w:tc>
        <w:tcPr>
          <w:tcW w:w="2700" w:type="pct"/>
          <w:vAlign w:val="center"/>
        </w:tcPr>
        <w:p w:rsidR="006C1C30" w:rsidRDefault="001C13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15.09.2020 N 1434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проведения технического ...</w:t>
          </w:r>
        </w:p>
      </w:tc>
      <w:tc>
        <w:tcPr>
          <w:tcW w:w="2300" w:type="pct"/>
          <w:vAlign w:val="center"/>
        </w:tcPr>
        <w:p w:rsidR="006C1C30" w:rsidRDefault="001C13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6C1C30" w:rsidRDefault="006C1C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1C30" w:rsidRDefault="006C1C3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1C30">
      <w:trPr>
        <w:trHeight w:hRule="exact" w:val="1683"/>
      </w:trPr>
      <w:tc>
        <w:tcPr>
          <w:tcW w:w="2700" w:type="pct"/>
          <w:vAlign w:val="center"/>
        </w:tcPr>
        <w:p w:rsidR="006C1C30" w:rsidRDefault="001C13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15.09.2020 N 1434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проведения технического ...</w:t>
          </w:r>
        </w:p>
      </w:tc>
      <w:tc>
        <w:tcPr>
          <w:tcW w:w="2300" w:type="pct"/>
          <w:vAlign w:val="center"/>
        </w:tcPr>
        <w:p w:rsidR="006C1C30" w:rsidRDefault="001C13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6C1C30" w:rsidRDefault="006C1C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1C30" w:rsidRDefault="006C1C3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C1C30">
      <w:trPr>
        <w:trHeight w:hRule="exact" w:val="1190"/>
      </w:trPr>
      <w:tc>
        <w:tcPr>
          <w:tcW w:w="2700" w:type="pct"/>
          <w:vAlign w:val="center"/>
        </w:tcPr>
        <w:p w:rsidR="006C1C30" w:rsidRDefault="001C13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15.09.2020 N 1434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проведения технического ...</w:t>
          </w:r>
        </w:p>
      </w:tc>
      <w:tc>
        <w:tcPr>
          <w:tcW w:w="2300" w:type="pct"/>
          <w:vAlign w:val="center"/>
        </w:tcPr>
        <w:p w:rsidR="006C1C30" w:rsidRDefault="001C13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6C1C30" w:rsidRDefault="006C1C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1C30" w:rsidRDefault="006C1C3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C1C30">
      <w:trPr>
        <w:trHeight w:hRule="exact" w:val="1190"/>
      </w:trPr>
      <w:tc>
        <w:tcPr>
          <w:tcW w:w="2700" w:type="pct"/>
          <w:vAlign w:val="center"/>
        </w:tcPr>
        <w:p w:rsidR="006C1C30" w:rsidRDefault="001C13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15.09.2020 N 1434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проведения технического ...</w:t>
          </w:r>
        </w:p>
      </w:tc>
      <w:tc>
        <w:tcPr>
          <w:tcW w:w="2300" w:type="pct"/>
          <w:vAlign w:val="center"/>
        </w:tcPr>
        <w:p w:rsidR="006C1C30" w:rsidRDefault="001C13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6C1C30" w:rsidRDefault="006C1C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1C30" w:rsidRDefault="006C1C3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30"/>
    <w:rsid w:val="001449F4"/>
    <w:rsid w:val="001C1372"/>
    <w:rsid w:val="0040750B"/>
    <w:rsid w:val="006C1C30"/>
    <w:rsid w:val="006D27EB"/>
    <w:rsid w:val="007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5EBB9-3519-4E5A-8679-3BCB3249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44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9643</Words>
  <Characters>54970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15.09.2020 N 1434
(ред. от 09.12.2023)
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</vt:lpstr>
    </vt:vector>
  </TitlesOfParts>
  <Company>КонсультантПлюс Версия 4024.00.50</Company>
  <LinksUpToDate>false</LinksUpToDate>
  <CharactersWithSpaces>64485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15.09.2020 N 1434
(ред. от 09.12.2023)
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</dc:title>
  <dc:creator>Шкута Василий Павлович</dc:creator>
  <cp:lastModifiedBy>Корбутовская Елена Геннадьевна</cp:lastModifiedBy>
  <cp:revision>2</cp:revision>
  <cp:lastPrinted>2025-11-12T09:00:00Z</cp:lastPrinted>
  <dcterms:created xsi:type="dcterms:W3CDTF">2025-11-14T07:26:00Z</dcterms:created>
  <dcterms:modified xsi:type="dcterms:W3CDTF">2025-11-14T07:26:00Z</dcterms:modified>
</cp:coreProperties>
</file>